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9B392">
      <w:pPr>
        <w:keepNext w:val="0"/>
        <w:keepLines w:val="0"/>
        <w:pageBreakBefore w:val="0"/>
        <w:widowControl/>
        <w:kinsoku/>
        <w:wordWrap/>
        <w:overflowPunct/>
        <w:topLinePunct w:val="0"/>
        <w:autoSpaceDE w:val="0"/>
        <w:autoSpaceDN w:val="0"/>
        <w:bidi w:val="0"/>
        <w:adjustRightInd/>
        <w:snapToGrid/>
        <w:spacing w:before="0" w:after="181" w:afterLines="50" w:line="1120" w:lineRule="exact"/>
        <w:ind w:left="0" w:right="0" w:firstLine="0"/>
        <w:jc w:val="distribute"/>
        <w:textAlignment w:val="auto"/>
        <w:rPr>
          <w:w w:val="50"/>
        </w:rPr>
      </w:pPr>
      <w:r>
        <w:rPr>
          <w:rFonts w:ascii="宋体" w:hAnsi="宋体" w:eastAsia="宋体"/>
          <w:b w:val="0"/>
          <w:i w:val="0"/>
          <w:color w:val="FF0000"/>
          <w:w w:val="50"/>
          <w:sz w:val="72"/>
        </w:rPr>
        <w:t>山 东 省 精 品 旅 游 促 进 会</w:t>
      </w:r>
    </w:p>
    <w:p w14:paraId="4352FA15">
      <w:pPr>
        <w:widowControl/>
        <w:autoSpaceDE w:val="0"/>
        <w:autoSpaceDN w:val="0"/>
        <w:spacing w:before="1136" w:after="0" w:line="580" w:lineRule="exact"/>
        <w:ind w:left="576" w:right="576" w:firstLine="0"/>
        <w:jc w:val="center"/>
      </w:pPr>
      <w:r>
        <w:rPr>
          <w:rFonts w:ascii="FZXBSJW" w:hAnsi="FZXBSJW" w:eastAsia="FZXBSJW"/>
          <w:b w:val="0"/>
          <w:i w:val="0"/>
          <w:color w:val="000000"/>
          <w:sz w:val="44"/>
        </w:rPr>
        <w:t>关于开展山东省“技能兴鲁”职业技能大赛2024 年全省研学旅行指导师职业技能竞赛的通知</w:t>
      </w:r>
    </w:p>
    <w:p w14:paraId="4EAA8CCB">
      <w:pPr>
        <w:widowControl/>
        <w:tabs>
          <w:tab w:val="left" w:pos="1040"/>
        </w:tabs>
        <w:autoSpaceDE w:val="0"/>
        <w:autoSpaceDN w:val="0"/>
        <w:spacing w:before="500" w:after="0" w:line="580" w:lineRule="exact"/>
        <w:ind w:left="406" w:right="288" w:firstLine="0"/>
        <w:jc w:val="left"/>
        <w:rPr>
          <w:rFonts w:ascii="仿宋" w:hAnsi="仿宋" w:eastAsia="仿宋"/>
          <w:b w:val="0"/>
          <w:i w:val="0"/>
          <w:color w:val="000000"/>
          <w:sz w:val="32"/>
        </w:rPr>
      </w:pPr>
      <w:r>
        <w:rPr>
          <w:rFonts w:ascii="仿宋" w:hAnsi="仿宋" w:eastAsia="仿宋"/>
          <w:b w:val="0"/>
          <w:i w:val="0"/>
          <w:color w:val="000000"/>
          <w:sz w:val="32"/>
        </w:rPr>
        <w:t>各有关单位：</w:t>
      </w:r>
      <w:r>
        <w:br w:type="textWrapping"/>
      </w:r>
      <w:r>
        <w:tab/>
      </w:r>
      <w:r>
        <w:rPr>
          <w:rFonts w:ascii="仿宋" w:hAnsi="仿宋" w:eastAsia="仿宋"/>
          <w:b w:val="0"/>
          <w:i w:val="0"/>
          <w:color w:val="000000"/>
          <w:sz w:val="32"/>
        </w:rPr>
        <w:t>为大力弘扬劳模精神、劳动精神、工匠精神， 积极营造 “劳动光荣、技能宝贵、创造伟大”的社会风尚。促进山东省研学旅游正向快速发展，高质量打造山东省研学旅游指导师人才队伍，全面提升研学旅游指导师综合素质和能力，加快培养研学旅游产业高技能人才，助力山东省研学旅游产业高质量发展。依据 2016年教育部等 11 部门联合发布的《关于推进中小学生研学旅游的意见》和《山东省人力资源和社会保障厅关于组织开展 2024 年山东省“技能兴鲁”职业技能大赛的通知》（鲁人社函〔2024〕57号）文件精神，特举办“技能兴鲁”2024 年全省研学旅行指导师职业技能竞赛（以下简称竞赛），现将活动方案通知如下：</w:t>
      </w:r>
    </w:p>
    <w:p w14:paraId="7F0EB0AA">
      <w:pPr>
        <w:widowControl/>
        <w:tabs>
          <w:tab w:val="left" w:pos="1040"/>
        </w:tabs>
        <w:autoSpaceDE w:val="0"/>
        <w:autoSpaceDN w:val="0"/>
        <w:spacing w:before="500" w:after="0" w:line="580" w:lineRule="exact"/>
        <w:ind w:left="406" w:right="288" w:firstLine="0"/>
        <w:jc w:val="left"/>
      </w:pPr>
      <w:r>
        <w:tab/>
      </w:r>
      <w:r>
        <w:rPr>
          <w:rFonts w:ascii="黑体" w:hAnsi="黑体" w:eastAsia="黑体"/>
          <w:b w:val="0"/>
          <w:i w:val="0"/>
          <w:color w:val="000000"/>
          <w:sz w:val="32"/>
        </w:rPr>
        <w:t>一、竞赛目标</w:t>
      </w:r>
      <w:r>
        <w:br w:type="textWrapping"/>
      </w:r>
      <w:r>
        <w:tab/>
      </w:r>
      <w:r>
        <w:rPr>
          <w:rFonts w:ascii="仿宋" w:hAnsi="仿宋" w:eastAsia="仿宋"/>
          <w:b w:val="0"/>
          <w:i w:val="0"/>
          <w:color w:val="000000"/>
          <w:sz w:val="32"/>
        </w:rPr>
        <w:t>本次竞赛以习近平新时代中国特色社会主义思想为指导，为提升研学旅游指导师的专业水平搭建平台，通过职业技能竞赛推</w:t>
      </w:r>
      <w:r>
        <w:drawing>
          <wp:inline distT="0" distB="0" distL="114300" distR="114300">
            <wp:extent cx="6134100" cy="1016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6134100" cy="101600"/>
                    </a:xfrm>
                    <a:prstGeom prst="rect">
                      <a:avLst/>
                    </a:prstGeom>
                  </pic:spPr>
                </pic:pic>
              </a:graphicData>
            </a:graphic>
          </wp:inline>
        </w:drawing>
      </w:r>
    </w:p>
    <w:p w14:paraId="0D5A3B27">
      <w:pPr>
        <w:widowControl/>
        <w:autoSpaceDE w:val="0"/>
        <w:autoSpaceDN w:val="0"/>
        <w:spacing w:before="1222" w:after="0" w:line="240" w:lineRule="auto"/>
        <w:ind w:left="0" w:right="0" w:firstLine="0"/>
        <w:jc w:val="center"/>
      </w:pPr>
    </w:p>
    <w:p w14:paraId="613C8249">
      <w:pPr>
        <w:widowControl/>
        <w:autoSpaceDE w:val="0"/>
        <w:autoSpaceDN w:val="0"/>
        <w:spacing w:before="4" w:after="0" w:line="200" w:lineRule="exact"/>
        <w:ind w:left="0" w:right="0" w:firstLine="0"/>
        <w:jc w:val="center"/>
      </w:pPr>
    </w:p>
    <w:p w14:paraId="2BA5F042">
      <w:pPr>
        <w:widowControl/>
        <w:autoSpaceDE w:val="0"/>
        <w:autoSpaceDN w:val="0"/>
        <w:spacing w:before="0" w:after="0" w:line="494" w:lineRule="exact"/>
        <w:ind w:left="146" w:right="20" w:firstLine="0"/>
        <w:jc w:val="both"/>
      </w:pPr>
      <w:r>
        <w:rPr>
          <w:rFonts w:ascii="仿宋" w:hAnsi="仿宋" w:eastAsia="仿宋"/>
          <w:b w:val="0"/>
          <w:i w:val="0"/>
          <w:color w:val="000000"/>
          <w:sz w:val="32"/>
        </w:rPr>
        <w:t>动行业发展。大力弘扬劳模精神、劳动精神、工匠精神，服务山东省全力打造“好客山东 见识齐鲁”研学旅游品牌和研学旅游目的地地标矩阵，为山东省研学旅游发展提供坚实的技能人才支撑。</w:t>
      </w:r>
    </w:p>
    <w:p w14:paraId="675B05D4">
      <w:pPr>
        <w:widowControl/>
        <w:autoSpaceDE w:val="0"/>
        <w:autoSpaceDN w:val="0"/>
        <w:spacing w:before="0" w:after="0" w:line="580" w:lineRule="exact"/>
        <w:ind w:left="146" w:right="180" w:firstLine="634"/>
        <w:jc w:val="both"/>
      </w:pPr>
      <w:r>
        <w:rPr>
          <w:rFonts w:ascii="仿宋" w:hAnsi="仿宋" w:eastAsia="仿宋"/>
          <w:b w:val="0"/>
          <w:i w:val="0"/>
          <w:color w:val="000000"/>
          <w:sz w:val="32"/>
        </w:rPr>
        <w:t>（一）以赛促进、以赛促学，强化从事研学旅游指导师职业素养培养，提升针对山东省研学旅游资源开展课程设计与实施能力的专业核心能力。</w:t>
      </w:r>
    </w:p>
    <w:p w14:paraId="5B452953">
      <w:pPr>
        <w:widowControl/>
        <w:autoSpaceDE w:val="0"/>
        <w:autoSpaceDN w:val="0"/>
        <w:spacing w:before="0" w:after="0" w:line="580" w:lineRule="exact"/>
        <w:ind w:left="146" w:right="178" w:firstLine="634"/>
        <w:jc w:val="both"/>
      </w:pPr>
      <w:r>
        <w:rPr>
          <w:rFonts w:ascii="仿宋" w:hAnsi="仿宋" w:eastAsia="仿宋"/>
          <w:b w:val="0"/>
          <w:i w:val="0"/>
          <w:color w:val="000000"/>
          <w:sz w:val="32"/>
        </w:rPr>
        <w:t>（二）通过竞赛，进一步引导研学旅游指导师的教育培训，从职业岗位能力分析、课程模块设计、教学内容组织、实践教学安排等方面加强研究，引领专业建设和教学改革。</w:t>
      </w:r>
    </w:p>
    <w:p w14:paraId="45E6C810">
      <w:pPr>
        <w:widowControl/>
        <w:autoSpaceDE w:val="0"/>
        <w:autoSpaceDN w:val="0"/>
        <w:spacing w:before="0" w:after="0" w:line="580" w:lineRule="exact"/>
        <w:ind w:left="146" w:right="180" w:firstLine="634"/>
        <w:jc w:val="both"/>
      </w:pPr>
      <w:r>
        <w:rPr>
          <w:rFonts w:ascii="仿宋" w:hAnsi="仿宋" w:eastAsia="仿宋"/>
          <w:b w:val="0"/>
          <w:i w:val="0"/>
          <w:color w:val="000000"/>
          <w:sz w:val="32"/>
        </w:rPr>
        <w:t>（三）通过竞赛，搭建文旅企业、行业专家、名师与参赛选手之间交流平台，促进教育、文旅业主管部门、基地（营地）、旅行社、院校之间的学习与交流。</w:t>
      </w:r>
    </w:p>
    <w:p w14:paraId="7B2036D3">
      <w:pPr>
        <w:widowControl/>
        <w:autoSpaceDE w:val="0"/>
        <w:autoSpaceDN w:val="0"/>
        <w:spacing w:before="0" w:after="0" w:line="580" w:lineRule="exact"/>
        <w:ind w:left="146" w:right="176" w:firstLine="634"/>
        <w:jc w:val="both"/>
      </w:pPr>
      <w:r>
        <w:rPr>
          <w:rFonts w:ascii="仿宋" w:hAnsi="仿宋" w:eastAsia="仿宋"/>
          <w:b w:val="0"/>
          <w:i w:val="0"/>
          <w:color w:val="000000"/>
          <w:sz w:val="32"/>
        </w:rPr>
        <w:t>（四）通过竞赛，宣传崇尚技艺技能的社会氛围，进一步展示研学旅游指导师个人风采和工匠精神，形成“好客山东”研学旅游课堂、主题线路特色品牌。</w:t>
      </w:r>
    </w:p>
    <w:p w14:paraId="036A33F2">
      <w:pPr>
        <w:widowControl/>
        <w:tabs>
          <w:tab w:val="left" w:pos="2356"/>
        </w:tabs>
        <w:autoSpaceDE w:val="0"/>
        <w:autoSpaceDN w:val="0"/>
        <w:spacing w:before="0" w:after="0" w:line="580" w:lineRule="exact"/>
        <w:ind w:left="780" w:right="2592" w:firstLine="0"/>
        <w:jc w:val="left"/>
      </w:pPr>
      <w:r>
        <w:rPr>
          <w:rFonts w:ascii="黑体" w:hAnsi="黑体" w:eastAsia="黑体"/>
          <w:b w:val="0"/>
          <w:i w:val="0"/>
          <w:color w:val="000000"/>
          <w:sz w:val="32"/>
        </w:rPr>
        <w:t>二、竞赛职业</w:t>
      </w:r>
      <w:r>
        <w:br w:type="textWrapping"/>
      </w:r>
      <w:r>
        <w:rPr>
          <w:rFonts w:ascii="仿宋" w:hAnsi="仿宋" w:eastAsia="仿宋"/>
          <w:b w:val="0"/>
          <w:i w:val="0"/>
          <w:color w:val="000000"/>
          <w:sz w:val="32"/>
        </w:rPr>
        <w:t>研学旅游指导师</w:t>
      </w:r>
      <w:r>
        <w:br w:type="textWrapping"/>
      </w:r>
      <w:r>
        <w:rPr>
          <w:rFonts w:ascii="黑体" w:hAnsi="黑体" w:eastAsia="黑体"/>
          <w:b w:val="0"/>
          <w:i w:val="0"/>
          <w:color w:val="000000"/>
          <w:sz w:val="32"/>
        </w:rPr>
        <w:t>三、组织机构</w:t>
      </w:r>
      <w:r>
        <w:br w:type="textWrapping"/>
      </w:r>
      <w:r>
        <w:rPr>
          <w:rFonts w:ascii="仿宋" w:hAnsi="仿宋" w:eastAsia="仿宋"/>
          <w:b w:val="0"/>
          <w:i w:val="0"/>
          <w:color w:val="000000"/>
          <w:sz w:val="32"/>
        </w:rPr>
        <w:t>指导单位：山东省人力资源和社会保障厅</w:t>
      </w:r>
      <w:r>
        <w:tab/>
      </w:r>
      <w:r>
        <w:rPr>
          <w:rFonts w:ascii="仿宋" w:hAnsi="仿宋" w:eastAsia="仿宋"/>
          <w:b w:val="0"/>
          <w:i w:val="0"/>
          <w:color w:val="000000"/>
          <w:sz w:val="32"/>
        </w:rPr>
        <w:t>山东省文化和旅游厅</w:t>
      </w:r>
      <w:r>
        <w:br w:type="textWrapping"/>
      </w:r>
      <w:r>
        <w:rPr>
          <w:rFonts w:ascii="仿宋" w:hAnsi="仿宋" w:eastAsia="仿宋"/>
          <w:b w:val="0"/>
          <w:i w:val="0"/>
          <w:color w:val="000000"/>
          <w:sz w:val="32"/>
        </w:rPr>
        <w:t>主办单位：山东省精品旅游促进会</w:t>
      </w:r>
    </w:p>
    <w:p w14:paraId="573B2C8F">
      <w:pPr>
        <w:widowControl/>
        <w:autoSpaceDE w:val="0"/>
        <w:autoSpaceDN w:val="0"/>
        <w:spacing w:before="1436" w:after="0" w:line="200" w:lineRule="exact"/>
        <w:ind w:left="0" w:right="0" w:firstLine="0"/>
        <w:jc w:val="center"/>
        <w:sectPr>
          <w:pgSz w:w="11906" w:h="16838"/>
          <w:pgMar w:top="1144" w:right="1292" w:bottom="498" w:left="1440" w:header="720" w:footer="720" w:gutter="0"/>
          <w:cols w:space="720" w:num="1"/>
          <w:docGrid w:linePitch="360" w:charSpace="0"/>
        </w:sectPr>
      </w:pPr>
    </w:p>
    <w:p w14:paraId="13BE2A63">
      <w:pPr>
        <w:widowControl/>
        <w:autoSpaceDE w:val="0"/>
        <w:autoSpaceDN w:val="0"/>
        <w:spacing w:before="0" w:after="924" w:line="220" w:lineRule="exact"/>
        <w:ind w:left="0" w:right="0"/>
      </w:pPr>
    </w:p>
    <w:p w14:paraId="76F635BE">
      <w:pPr>
        <w:widowControl/>
        <w:tabs>
          <w:tab w:val="left" w:pos="780"/>
          <w:tab w:val="left" w:pos="2356"/>
        </w:tabs>
        <w:autoSpaceDE w:val="0"/>
        <w:autoSpaceDN w:val="0"/>
        <w:spacing w:before="0" w:after="0" w:line="560" w:lineRule="exact"/>
        <w:ind w:left="146" w:right="0" w:firstLine="640" w:firstLineChars="200"/>
        <w:jc w:val="left"/>
      </w:pPr>
      <w:r>
        <w:rPr>
          <w:rFonts w:ascii="仿宋" w:hAnsi="仿宋" w:eastAsia="仿宋"/>
          <w:b w:val="0"/>
          <w:i w:val="0"/>
          <w:color w:val="000000"/>
          <w:sz w:val="32"/>
        </w:rPr>
        <w:t>承办单位：山东理工职业学院</w:t>
      </w:r>
      <w:r>
        <w:br w:type="textWrapping"/>
      </w:r>
      <w:r>
        <w:tab/>
      </w:r>
      <w:r>
        <w:tab/>
      </w:r>
      <w:r>
        <w:rPr>
          <w:rFonts w:ascii="仿宋" w:hAnsi="仿宋" w:eastAsia="仿宋"/>
          <w:b w:val="0"/>
          <w:i w:val="0"/>
          <w:color w:val="000000"/>
          <w:sz w:val="32"/>
        </w:rPr>
        <w:t>山东省财贸金融工会</w:t>
      </w:r>
      <w:r>
        <w:br w:type="textWrapping"/>
      </w:r>
      <w:r>
        <w:tab/>
      </w:r>
      <w:r>
        <w:tab/>
      </w:r>
      <w:r>
        <w:rPr>
          <w:rFonts w:ascii="仿宋" w:hAnsi="仿宋" w:eastAsia="仿宋"/>
          <w:b w:val="0"/>
          <w:i w:val="0"/>
          <w:color w:val="000000"/>
          <w:sz w:val="32"/>
        </w:rPr>
        <w:t>山东省旅促会研学和红色旅游分会</w:t>
      </w:r>
      <w:r>
        <w:br w:type="textWrapping"/>
      </w:r>
      <w:r>
        <w:tab/>
      </w:r>
      <w:r>
        <w:tab/>
      </w:r>
      <w:r>
        <w:rPr>
          <w:rFonts w:ascii="仿宋" w:hAnsi="仿宋" w:eastAsia="仿宋"/>
          <w:b w:val="0"/>
          <w:i w:val="0"/>
          <w:color w:val="000000"/>
          <w:sz w:val="32"/>
        </w:rPr>
        <w:t>好学（山东）文化传播有限公司</w:t>
      </w:r>
      <w:r>
        <w:br w:type="textWrapping"/>
      </w:r>
      <w:r>
        <w:tab/>
      </w:r>
      <w:r>
        <w:rPr>
          <w:rFonts w:ascii="仿宋" w:hAnsi="仿宋" w:eastAsia="仿宋"/>
          <w:b w:val="0"/>
          <w:i w:val="0"/>
          <w:color w:val="000000"/>
          <w:sz w:val="32"/>
        </w:rPr>
        <w:t>协办单位：济宁市精品旅游促进会（筹）</w:t>
      </w:r>
      <w:r>
        <w:br w:type="textWrapping"/>
      </w:r>
      <w:r>
        <w:tab/>
      </w:r>
      <w:r>
        <w:tab/>
      </w:r>
      <w:r>
        <w:rPr>
          <w:rFonts w:ascii="仿宋" w:hAnsi="仿宋" w:eastAsia="仿宋"/>
          <w:b w:val="0"/>
          <w:i w:val="0"/>
          <w:color w:val="000000"/>
          <w:sz w:val="32"/>
        </w:rPr>
        <w:t>山东华仁教育发展有限公司</w:t>
      </w:r>
      <w:r>
        <w:br w:type="textWrapping"/>
      </w:r>
      <w:r>
        <w:tab/>
      </w:r>
      <w:r>
        <w:rPr>
          <w:rFonts w:ascii="仿宋" w:hAnsi="仿宋" w:eastAsia="仿宋"/>
          <w:b w:val="0"/>
          <w:i w:val="0"/>
          <w:color w:val="000000"/>
          <w:sz w:val="32"/>
        </w:rPr>
        <w:t>技术支持：江苏开新学数字科技有限公司</w:t>
      </w:r>
      <w:r>
        <w:br w:type="textWrapping"/>
      </w:r>
      <w:r>
        <w:tab/>
      </w:r>
      <w:r>
        <w:tab/>
      </w:r>
      <w:r>
        <w:rPr>
          <w:rFonts w:ascii="仿宋" w:hAnsi="仿宋" w:eastAsia="仿宋"/>
          <w:b w:val="0"/>
          <w:i w:val="0"/>
          <w:color w:val="000000"/>
          <w:sz w:val="32"/>
        </w:rPr>
        <w:t>安徽云驴通信息技术有限公司</w:t>
      </w:r>
      <w:r>
        <w:br w:type="textWrapping"/>
      </w:r>
      <w:r>
        <w:tab/>
      </w:r>
      <w:r>
        <w:rPr>
          <w:rFonts w:ascii="仿宋" w:hAnsi="仿宋" w:eastAsia="仿宋"/>
          <w:b w:val="0"/>
          <w:i w:val="0"/>
          <w:color w:val="000000"/>
          <w:sz w:val="32"/>
        </w:rPr>
        <w:t>为保证竞赛顺利进行，成立山东省研学旅游指导师职业技能竞赛组委会（以下简称“组委会”）。组委会全面负责竞赛组织工作，下设竞赛组织委员会、专家委员会和办公室。竞赛组织委员会负责大赛相关内容监督。竞赛专家委员会负责赛事技术支持工作。竞赛办公室负责赛事日常组织及事务性工作。</w:t>
      </w:r>
    </w:p>
    <w:p w14:paraId="37B8DED2">
      <w:pPr>
        <w:widowControl/>
        <w:tabs>
          <w:tab w:val="left" w:pos="780"/>
        </w:tabs>
        <w:autoSpaceDE w:val="0"/>
        <w:autoSpaceDN w:val="0"/>
        <w:spacing w:before="2" w:after="0" w:line="580" w:lineRule="exact"/>
        <w:ind w:left="146" w:right="0" w:firstLine="0"/>
        <w:jc w:val="left"/>
      </w:pPr>
      <w:r>
        <w:tab/>
      </w:r>
      <w:r>
        <w:rPr>
          <w:rFonts w:ascii="黑体" w:hAnsi="黑体" w:eastAsia="黑体"/>
          <w:b w:val="0"/>
          <w:i w:val="0"/>
          <w:color w:val="000000"/>
          <w:sz w:val="32"/>
        </w:rPr>
        <w:t>四、报名和比赛时间</w:t>
      </w:r>
      <w:r>
        <w:br w:type="textWrapping"/>
      </w:r>
      <w:r>
        <w:tab/>
      </w:r>
      <w:r>
        <w:rPr>
          <w:rFonts w:ascii="仿宋" w:hAnsi="仿宋" w:eastAsia="仿宋"/>
          <w:b w:val="0"/>
          <w:i w:val="0"/>
          <w:color w:val="000000"/>
          <w:sz w:val="32"/>
        </w:rPr>
        <w:t>报名时间：9 月 1 日－9 月 15 日</w:t>
      </w:r>
      <w:r>
        <w:br w:type="textWrapping"/>
      </w:r>
      <w:r>
        <w:tab/>
      </w:r>
      <w:r>
        <w:rPr>
          <w:rFonts w:ascii="仿宋" w:hAnsi="仿宋" w:eastAsia="仿宋"/>
          <w:b w:val="0"/>
          <w:i w:val="0"/>
          <w:color w:val="000000"/>
          <w:sz w:val="32"/>
        </w:rPr>
        <w:t>初赛时间：理论知识测试定于 9 月 21 日—22 日；研学课程设计方案和 1 分钟视频提交时间截至 9 月 27 日 24:00。</w:t>
      </w:r>
    </w:p>
    <w:p w14:paraId="7D90003A">
      <w:pPr>
        <w:widowControl/>
        <w:tabs>
          <w:tab w:val="left" w:pos="780"/>
        </w:tabs>
        <w:autoSpaceDE w:val="0"/>
        <w:autoSpaceDN w:val="0"/>
        <w:spacing w:before="0" w:after="0" w:line="580" w:lineRule="exact"/>
        <w:ind w:left="710" w:right="0" w:firstLine="0"/>
        <w:jc w:val="left"/>
      </w:pPr>
      <w:r>
        <w:rPr>
          <w:rFonts w:ascii="仿宋" w:hAnsi="仿宋" w:eastAsia="仿宋"/>
          <w:b w:val="0"/>
          <w:i w:val="0"/>
          <w:color w:val="000000"/>
          <w:sz w:val="32"/>
        </w:rPr>
        <w:t>决赛时间：10 月下旬（地点：山东理工职业学院）</w:t>
      </w:r>
      <w:r>
        <w:br w:type="textWrapping"/>
      </w:r>
      <w:r>
        <w:rPr>
          <w:rFonts w:ascii="黑体" w:hAnsi="黑体" w:eastAsia="黑体"/>
          <w:b w:val="0"/>
          <w:i w:val="0"/>
          <w:color w:val="000000"/>
          <w:sz w:val="32"/>
        </w:rPr>
        <w:t>五、竞赛分组和报名方式</w:t>
      </w:r>
      <w:r>
        <w:br w:type="textWrapping"/>
      </w:r>
      <w:r>
        <w:rPr>
          <w:rFonts w:ascii="仿宋" w:hAnsi="仿宋" w:eastAsia="仿宋"/>
          <w:b w:val="0"/>
          <w:i w:val="0"/>
          <w:color w:val="000000"/>
          <w:sz w:val="32"/>
        </w:rPr>
        <w:t>（一）报名分组</w:t>
      </w:r>
      <w:r>
        <w:br w:type="textWrapping"/>
      </w:r>
      <w:r>
        <w:rPr>
          <w:rFonts w:ascii="仿宋" w:hAnsi="仿宋" w:eastAsia="仿宋"/>
          <w:b w:val="0"/>
          <w:i w:val="0"/>
          <w:color w:val="000000"/>
          <w:sz w:val="32"/>
        </w:rPr>
        <w:t>赛项设置职工组和学生组2 个组别，均为个人赛，进行初、决赛。</w:t>
      </w:r>
    </w:p>
    <w:p w14:paraId="3B19108F">
      <w:pPr>
        <w:widowControl/>
        <w:tabs>
          <w:tab w:val="left" w:pos="756"/>
          <w:tab w:val="left" w:pos="780"/>
        </w:tabs>
        <w:autoSpaceDE w:val="0"/>
        <w:autoSpaceDN w:val="0"/>
        <w:spacing w:before="0" w:after="0" w:line="514" w:lineRule="exact"/>
        <w:ind w:left="146" w:right="0" w:firstLine="0"/>
        <w:jc w:val="left"/>
      </w:pPr>
      <w:r>
        <w:tab/>
      </w:r>
      <w:r>
        <w:tab/>
      </w:r>
      <w:r>
        <w:rPr>
          <w:rFonts w:ascii="仿宋" w:hAnsi="仿宋" w:eastAsia="仿宋"/>
          <w:b w:val="0"/>
          <w:i w:val="0"/>
          <w:color w:val="000000"/>
          <w:sz w:val="32"/>
        </w:rPr>
        <w:t>（二）报名方式</w:t>
      </w:r>
      <w:r>
        <w:br w:type="textWrapping"/>
      </w:r>
      <w:r>
        <w:tab/>
      </w:r>
      <w:r>
        <w:rPr>
          <w:rFonts w:ascii="仿宋" w:hAnsi="仿宋" w:eastAsia="仿宋"/>
          <w:b w:val="0"/>
          <w:i w:val="0"/>
          <w:color w:val="000000"/>
          <w:sz w:val="32"/>
        </w:rPr>
        <w:t>各参赛单位推荐人员请于9 月1 日至15 日24:00 前扫描下列二维码进行报名，并将推荐单位盖章报名表（见附件 1）的扫描件和报名汇总表 WORD 版发送至电子邮箱：。</w:t>
      </w:r>
    </w:p>
    <w:p w14:paraId="5B51D47D">
      <w:pPr>
        <w:widowControl/>
        <w:autoSpaceDE w:val="0"/>
        <w:autoSpaceDN w:val="0"/>
        <w:spacing w:before="318" w:after="0" w:line="240" w:lineRule="auto"/>
        <w:ind w:left="0" w:right="2386" w:firstLine="0"/>
        <w:jc w:val="right"/>
      </w:pPr>
      <w:r>
        <w:drawing>
          <wp:inline distT="0" distB="0" distL="114300" distR="114300">
            <wp:extent cx="2628900" cy="2628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2628900" cy="2628900"/>
                    </a:xfrm>
                    <a:prstGeom prst="rect">
                      <a:avLst/>
                    </a:prstGeom>
                  </pic:spPr>
                </pic:pic>
              </a:graphicData>
            </a:graphic>
          </wp:inline>
        </w:drawing>
      </w:r>
    </w:p>
    <w:p w14:paraId="193BF28B">
      <w:pPr>
        <w:widowControl/>
        <w:tabs>
          <w:tab w:val="left" w:pos="780"/>
          <w:tab w:val="left" w:pos="3780"/>
        </w:tabs>
        <w:autoSpaceDE w:val="0"/>
        <w:autoSpaceDN w:val="0"/>
        <w:spacing w:before="192" w:after="0" w:line="580" w:lineRule="exact"/>
        <w:ind w:left="146" w:right="0" w:firstLine="0"/>
        <w:jc w:val="left"/>
      </w:pPr>
      <w:r>
        <w:tab/>
      </w:r>
      <w:r>
        <w:tab/>
      </w:r>
      <w:r>
        <w:rPr>
          <w:rFonts w:ascii="仿宋" w:hAnsi="仿宋" w:eastAsia="仿宋"/>
          <w:b w:val="0"/>
          <w:i w:val="0"/>
          <w:color w:val="000000"/>
          <w:sz w:val="32"/>
        </w:rPr>
        <w:t>报名二维码</w:t>
      </w:r>
      <w:r>
        <w:br w:type="textWrapping"/>
      </w:r>
      <w:r>
        <w:tab/>
      </w:r>
      <w:r>
        <w:rPr>
          <w:rFonts w:ascii="仿宋" w:hAnsi="仿宋" w:eastAsia="仿宋"/>
          <w:b w:val="0"/>
          <w:i w:val="0"/>
          <w:color w:val="000000"/>
          <w:sz w:val="32"/>
        </w:rPr>
        <w:t>（三）初赛和提交作品平台</w:t>
      </w:r>
      <w:r>
        <w:br w:type="textWrapping"/>
      </w:r>
      <w:r>
        <w:tab/>
      </w:r>
      <w:r>
        <w:rPr>
          <w:rFonts w:ascii="仿宋" w:hAnsi="仿宋" w:eastAsia="仿宋"/>
          <w:b w:val="0"/>
          <w:i w:val="0"/>
          <w:color w:val="000000"/>
          <w:sz w:val="32"/>
        </w:rPr>
        <w:t>初赛报名成功后使用本人身份证号码和默认密码登录初赛考试平台，在规定时间内完成理论知识测试，并提交课程设计作品和 1 分钟视频。</w:t>
      </w:r>
    </w:p>
    <w:p w14:paraId="6C29EE41">
      <w:pPr>
        <w:widowControl/>
        <w:autoSpaceDE w:val="0"/>
        <w:autoSpaceDN w:val="0"/>
        <w:spacing w:before="0" w:after="0" w:line="580" w:lineRule="exact"/>
        <w:ind w:left="780" w:right="0" w:firstLine="0"/>
        <w:jc w:val="left"/>
      </w:pPr>
      <w:r>
        <w:rPr>
          <w:rFonts w:ascii="仿宋" w:hAnsi="仿宋" w:eastAsia="仿宋"/>
          <w:b w:val="0"/>
          <w:i w:val="0"/>
          <w:color w:val="000000"/>
          <w:sz w:val="32"/>
        </w:rPr>
        <w:t>初赛平台登录网址：</w:t>
      </w:r>
      <w:r>
        <w:br w:type="textWrapping"/>
      </w:r>
      <w:r>
        <w:rPr>
          <w:rFonts w:ascii="黑体" w:hAnsi="黑体" w:eastAsia="黑体"/>
          <w:b w:val="0"/>
          <w:i w:val="0"/>
          <w:color w:val="000000"/>
          <w:sz w:val="32"/>
        </w:rPr>
        <w:t>六、报名条件</w:t>
      </w:r>
      <w:r>
        <w:br w:type="textWrapping"/>
      </w:r>
      <w:r>
        <w:rPr>
          <w:rFonts w:ascii="仿宋" w:hAnsi="仿宋" w:eastAsia="仿宋"/>
          <w:b w:val="0"/>
          <w:i w:val="0"/>
          <w:color w:val="000000"/>
          <w:sz w:val="32"/>
        </w:rPr>
        <w:t>（一）职工组</w:t>
      </w:r>
      <w:r>
        <w:br w:type="textWrapping"/>
      </w:r>
      <w:r>
        <w:rPr>
          <w:rFonts w:ascii="仿宋" w:hAnsi="仿宋" w:eastAsia="仿宋"/>
          <w:b w:val="0"/>
          <w:i w:val="0"/>
          <w:color w:val="000000"/>
          <w:sz w:val="32"/>
        </w:rPr>
        <w:t>全省范围内从事研学行业工作的企业职工、院校职工，不受</w:t>
      </w:r>
    </w:p>
    <w:p w14:paraId="6556D25F">
      <w:pPr>
        <w:bidi w:val="0"/>
        <w:rPr>
          <w:rFonts w:asciiTheme="minorHAnsi" w:hAnsiTheme="minorHAnsi" w:eastAsiaTheme="minorEastAsia" w:cstheme="minorBidi"/>
          <w:sz w:val="22"/>
          <w:szCs w:val="22"/>
          <w:lang w:val="en-US" w:eastAsia="en-US" w:bidi="ar-SA"/>
        </w:rPr>
      </w:pPr>
    </w:p>
    <w:p w14:paraId="0689BE5F">
      <w:pPr>
        <w:tabs>
          <w:tab w:val="left" w:pos="838"/>
        </w:tabs>
        <w:bidi w:val="0"/>
        <w:jc w:val="left"/>
      </w:pPr>
      <w:r>
        <w:rPr>
          <w:rFonts w:hint="eastAsia" w:eastAsia="宋体"/>
          <w:lang w:val="en-US" w:eastAsia="zh-CN"/>
        </w:rPr>
        <w:tab/>
      </w:r>
      <w:r>
        <w:rPr>
          <w:rFonts w:ascii="仿宋" w:hAnsi="仿宋" w:eastAsia="仿宋"/>
          <w:b w:val="0"/>
          <w:i w:val="0"/>
          <w:color w:val="000000"/>
          <w:sz w:val="32"/>
        </w:rPr>
        <w:t>年龄、学历、职业资格、职务、职称等限制。全省范围内从事研学行业工作的相关单位均可推荐参赛选手；院校单位推荐不超过4 人，企业不超过 2 人。</w:t>
      </w:r>
    </w:p>
    <w:p w14:paraId="46FA3A23">
      <w:pPr>
        <w:widowControl/>
        <w:autoSpaceDE w:val="0"/>
        <w:autoSpaceDN w:val="0"/>
        <w:spacing w:before="0" w:after="0" w:line="580" w:lineRule="exact"/>
        <w:ind w:left="146" w:right="180" w:firstLine="634"/>
        <w:jc w:val="both"/>
      </w:pPr>
      <w:r>
        <w:rPr>
          <w:rFonts w:ascii="仿宋" w:hAnsi="仿宋" w:eastAsia="仿宋"/>
          <w:b w:val="0"/>
          <w:i w:val="0"/>
          <w:color w:val="000000"/>
          <w:sz w:val="32"/>
        </w:rPr>
        <w:t>特别提示：已获得“中华技能大奖”“全国技术能手”称号的人员（含已取得“全国技术能手”申报资格人员），及已取得“山东省技术能手”称号的人员，不再参赛。</w:t>
      </w:r>
    </w:p>
    <w:p w14:paraId="4C11D34A">
      <w:pPr>
        <w:widowControl/>
        <w:autoSpaceDE w:val="0"/>
        <w:autoSpaceDN w:val="0"/>
        <w:spacing w:before="0" w:after="0" w:line="580" w:lineRule="exact"/>
        <w:ind w:left="780" w:right="1008" w:firstLine="0"/>
        <w:jc w:val="left"/>
      </w:pPr>
      <w:r>
        <w:rPr>
          <w:rFonts w:ascii="仿宋" w:hAnsi="仿宋" w:eastAsia="仿宋"/>
          <w:b w:val="0"/>
          <w:i w:val="0"/>
          <w:color w:val="000000"/>
          <w:sz w:val="32"/>
        </w:rPr>
        <w:t>（二）学生组</w:t>
      </w:r>
      <w:r>
        <w:br w:type="textWrapping"/>
      </w:r>
      <w:r>
        <w:rPr>
          <w:rFonts w:ascii="仿宋" w:hAnsi="仿宋" w:eastAsia="仿宋"/>
          <w:b w:val="0"/>
          <w:i w:val="0"/>
          <w:color w:val="000000"/>
          <w:sz w:val="32"/>
        </w:rPr>
        <w:t>全省范围内高职院校、本科院校的全日制在籍学生。</w:t>
      </w:r>
    </w:p>
    <w:p w14:paraId="3702CDDD">
      <w:pPr>
        <w:widowControl/>
        <w:autoSpaceDE w:val="0"/>
        <w:autoSpaceDN w:val="0"/>
        <w:spacing w:before="0" w:after="0" w:line="580" w:lineRule="exact"/>
        <w:ind w:left="146" w:right="168" w:firstLine="610"/>
        <w:jc w:val="both"/>
      </w:pPr>
      <w:r>
        <w:rPr>
          <w:rFonts w:ascii="仿宋" w:hAnsi="仿宋" w:eastAsia="仿宋"/>
          <w:b w:val="0"/>
          <w:i w:val="0"/>
          <w:color w:val="000000"/>
          <w:sz w:val="32"/>
        </w:rPr>
        <w:t>各院校推荐参赛选手不超过 6 人，每位参赛选手只能指定 1 名指导教师，指导教师须为本校专职教师。具有全日制学籍的在校学生不得以职工身份参赛。</w:t>
      </w:r>
    </w:p>
    <w:p w14:paraId="0BEC0D44">
      <w:pPr>
        <w:widowControl/>
        <w:tabs>
          <w:tab w:val="left" w:pos="780"/>
        </w:tabs>
        <w:autoSpaceDE w:val="0"/>
        <w:autoSpaceDN w:val="0"/>
        <w:spacing w:before="0" w:after="0" w:line="580" w:lineRule="exact"/>
        <w:ind w:left="146" w:right="0" w:firstLine="0"/>
        <w:jc w:val="left"/>
      </w:pPr>
      <w:r>
        <w:tab/>
      </w:r>
      <w:r>
        <w:rPr>
          <w:rFonts w:ascii="黑体" w:hAnsi="黑体" w:eastAsia="黑体"/>
          <w:b w:val="0"/>
          <w:i w:val="0"/>
          <w:color w:val="000000"/>
          <w:sz w:val="32"/>
        </w:rPr>
        <w:t>七、竞赛实施步骤</w:t>
      </w:r>
      <w:r>
        <w:br w:type="textWrapping"/>
      </w:r>
      <w:r>
        <w:tab/>
      </w:r>
      <w:r>
        <w:rPr>
          <w:rFonts w:ascii="仿宋" w:hAnsi="仿宋" w:eastAsia="仿宋"/>
          <w:b w:val="0"/>
          <w:i w:val="0"/>
          <w:color w:val="000000"/>
          <w:sz w:val="32"/>
        </w:rPr>
        <w:t>（一）竞赛阶段</w:t>
      </w:r>
      <w:r>
        <w:br w:type="textWrapping"/>
      </w:r>
      <w:r>
        <w:tab/>
      </w:r>
      <w:r>
        <w:rPr>
          <w:rFonts w:ascii="仿宋" w:hAnsi="仿宋" w:eastAsia="仿宋"/>
          <w:b w:val="0"/>
          <w:i w:val="0"/>
          <w:color w:val="000000"/>
          <w:sz w:val="32"/>
        </w:rPr>
        <w:t>分为初赛、决赛两个阶段。具体如下：</w:t>
      </w:r>
      <w:r>
        <w:br w:type="textWrapping"/>
      </w:r>
      <w:r>
        <w:tab/>
      </w:r>
      <w:r>
        <w:rPr>
          <w:rFonts w:ascii="仿宋" w:hAnsi="仿宋" w:eastAsia="仿宋"/>
          <w:b w:val="0"/>
          <w:i w:val="0"/>
          <w:color w:val="000000"/>
          <w:sz w:val="32"/>
        </w:rPr>
        <w:t>1.初赛。由竞赛组委会统一组织，分为理论知识测试（40%）研学课程方案（50%）、1 分钟课程介绍视频（10%）三项。三项成绩均按百分制，归并计算总成绩，初赛成绩不计入决赛。报名成功后，将所有考生信息导入初赛训练和提交作品平台，考生以身份证登录 2024 年山东省研学旅行指导师职业技能竞赛初赛平台，完成初赛和提交作品。初赛各赛项在线上 2024 年山东省研学旅行指导师职业技能竞赛初赛平台进行，具体网站地址和登录方式将在比赛通知官网上发布技术文件。</w:t>
      </w:r>
    </w:p>
    <w:p w14:paraId="319F5623">
      <w:pPr>
        <w:widowControl/>
        <w:tabs>
          <w:tab w:val="left" w:pos="780"/>
        </w:tabs>
        <w:autoSpaceDE w:val="0"/>
        <w:autoSpaceDN w:val="0"/>
        <w:spacing w:before="2" w:after="0" w:line="580" w:lineRule="exact"/>
        <w:ind w:left="146" w:right="144" w:firstLine="0"/>
        <w:jc w:val="left"/>
      </w:pPr>
      <w:r>
        <w:tab/>
      </w:r>
      <w:r>
        <w:rPr>
          <w:rFonts w:ascii="仿宋" w:hAnsi="仿宋" w:eastAsia="仿宋"/>
          <w:b w:val="0"/>
          <w:i w:val="0"/>
          <w:color w:val="000000"/>
          <w:sz w:val="32"/>
        </w:rPr>
        <w:t>2.培训。本次将组织公益性系列培训，学员自愿选择参加，切实提升参赛选手的实操技能。</w:t>
      </w:r>
    </w:p>
    <w:p w14:paraId="20C9434C">
      <w:pPr>
        <w:widowControl/>
        <w:autoSpaceDE w:val="0"/>
        <w:autoSpaceDN w:val="0"/>
        <w:spacing w:before="0" w:after="0" w:line="580" w:lineRule="exact"/>
        <w:ind w:left="146" w:right="0" w:firstLine="634"/>
        <w:jc w:val="left"/>
      </w:pPr>
      <w:r>
        <w:rPr>
          <w:rFonts w:ascii="仿宋" w:hAnsi="仿宋" w:eastAsia="仿宋"/>
          <w:b w:val="0"/>
          <w:i w:val="0"/>
          <w:color w:val="000000"/>
          <w:sz w:val="32"/>
        </w:rPr>
        <w:t>3.决赛。10 月 9 日在竞赛官方网站公示进入决赛入围名单，决赛由竞赛组委会统一组织，分为理论知识测试（20%）、研学课程设计实操（50%）和研学技能实操展示（30%）三项。三项成绩均按百分制，归并计算总成绩。决赛各赛项在现场进行。</w:t>
      </w:r>
    </w:p>
    <w:p w14:paraId="5D2C1DBE">
      <w:pPr>
        <w:widowControl/>
        <w:tabs>
          <w:tab w:val="left" w:pos="756"/>
          <w:tab w:val="left" w:pos="780"/>
        </w:tabs>
        <w:autoSpaceDE w:val="0"/>
        <w:autoSpaceDN w:val="0"/>
        <w:spacing w:before="2" w:after="0" w:line="580" w:lineRule="exact"/>
        <w:ind w:left="146" w:right="0" w:firstLine="0"/>
        <w:jc w:val="left"/>
      </w:pPr>
      <w:r>
        <w:tab/>
      </w:r>
      <w:r>
        <w:tab/>
      </w:r>
      <w:r>
        <w:rPr>
          <w:rFonts w:ascii="仿宋" w:hAnsi="仿宋" w:eastAsia="仿宋"/>
          <w:b w:val="0"/>
          <w:i w:val="0"/>
          <w:color w:val="000000"/>
          <w:sz w:val="32"/>
        </w:rPr>
        <w:t>（二）赛项说明</w:t>
      </w:r>
      <w:r>
        <w:br w:type="textWrapping"/>
      </w:r>
      <w:r>
        <w:tab/>
      </w:r>
      <w:r>
        <w:tab/>
      </w:r>
      <w:r>
        <w:rPr>
          <w:rFonts w:ascii="仿宋" w:hAnsi="仿宋" w:eastAsia="仿宋"/>
          <w:b w:val="0"/>
          <w:i w:val="0"/>
          <w:color w:val="000000"/>
          <w:sz w:val="32"/>
        </w:rPr>
        <w:t>1.理论知识测试</w:t>
      </w:r>
      <w:r>
        <w:br w:type="textWrapping"/>
      </w:r>
      <w:r>
        <w:tab/>
      </w:r>
      <w:r>
        <w:rPr>
          <w:rFonts w:ascii="仿宋" w:hAnsi="仿宋" w:eastAsia="仿宋"/>
          <w:b w:val="0"/>
          <w:i w:val="0"/>
          <w:color w:val="000000"/>
          <w:sz w:val="32"/>
        </w:rPr>
        <w:t>理论知识竞赛考核按研学旅游指导师《国家职业标准》（征求意见稿）国家职业资格三级及以下级别的知识要求和技能要求进行命题，采取初赛采用线上答题进行，决赛阶段在机房内上机答题方式进行。在初赛阶段中将调用手机摄像头，对答题现场进行拍照，监督作弊行为。</w:t>
      </w:r>
    </w:p>
    <w:p w14:paraId="348ADE1C">
      <w:pPr>
        <w:widowControl/>
        <w:tabs>
          <w:tab w:val="left" w:pos="780"/>
        </w:tabs>
        <w:autoSpaceDE w:val="0"/>
        <w:autoSpaceDN w:val="0"/>
        <w:spacing w:before="0" w:after="0" w:line="580" w:lineRule="exact"/>
        <w:ind w:left="146" w:right="0" w:firstLine="0"/>
        <w:jc w:val="left"/>
      </w:pPr>
      <w:r>
        <w:tab/>
      </w:r>
      <w:r>
        <w:rPr>
          <w:rFonts w:ascii="仿宋" w:hAnsi="仿宋" w:eastAsia="仿宋"/>
          <w:b w:val="0"/>
          <w:i w:val="0"/>
          <w:color w:val="000000"/>
          <w:sz w:val="32"/>
        </w:rPr>
        <w:t>（1）测试内容</w:t>
      </w:r>
      <w:r>
        <w:br w:type="textWrapping"/>
      </w:r>
      <w:r>
        <w:tab/>
      </w:r>
      <w:r>
        <w:rPr>
          <w:rFonts w:ascii="仿宋" w:hAnsi="仿宋" w:eastAsia="仿宋"/>
          <w:b w:val="0"/>
          <w:i w:val="0"/>
          <w:color w:val="000000"/>
          <w:sz w:val="32"/>
        </w:rPr>
        <w:t>研学旅游职业道德、研学政策及法律法规知识、研学基础知识和实践操作等相关内容，具体可参考在大赛官网发布的题库。</w:t>
      </w:r>
    </w:p>
    <w:p w14:paraId="59C7069F">
      <w:pPr>
        <w:widowControl/>
        <w:tabs>
          <w:tab w:val="left" w:pos="780"/>
        </w:tabs>
        <w:autoSpaceDE w:val="0"/>
        <w:autoSpaceDN w:val="0"/>
        <w:spacing w:before="0" w:after="0" w:line="580" w:lineRule="exact"/>
        <w:ind w:left="146" w:right="0" w:firstLine="0"/>
        <w:jc w:val="left"/>
      </w:pPr>
      <w:r>
        <w:tab/>
      </w:r>
      <w:r>
        <w:rPr>
          <w:rFonts w:ascii="仿宋" w:hAnsi="仿宋" w:eastAsia="仿宋"/>
          <w:b w:val="0"/>
          <w:i w:val="0"/>
          <w:color w:val="000000"/>
          <w:sz w:val="32"/>
        </w:rPr>
        <w:t>（2）题型设置</w:t>
      </w:r>
      <w:r>
        <w:br w:type="textWrapping"/>
      </w:r>
      <w:r>
        <w:tab/>
      </w:r>
      <w:r>
        <w:rPr>
          <w:rFonts w:ascii="仿宋" w:hAnsi="仿宋" w:eastAsia="仿宋"/>
          <w:b w:val="0"/>
          <w:i w:val="0"/>
          <w:color w:val="000000"/>
          <w:sz w:val="32"/>
        </w:rPr>
        <w:t>题型设置为判断题（20 题，每题 0.5 分）；单项选择题（60题，每题 1 分）；多项选择题（20 题，每题 1.5 分），共 100 题。满分为 100 分，竞赛考核时间为 60 分钟。</w:t>
      </w:r>
    </w:p>
    <w:p w14:paraId="647B3B7F">
      <w:pPr>
        <w:widowControl/>
        <w:autoSpaceDE w:val="0"/>
        <w:autoSpaceDN w:val="0"/>
        <w:spacing w:before="0" w:after="924" w:line="220" w:lineRule="exact"/>
        <w:ind w:left="0" w:right="0"/>
      </w:pPr>
    </w:p>
    <w:p w14:paraId="15B2D6EC">
      <w:pPr>
        <w:widowControl/>
        <w:tabs>
          <w:tab w:val="left" w:pos="780"/>
        </w:tabs>
        <w:autoSpaceDE w:val="0"/>
        <w:autoSpaceDN w:val="0"/>
        <w:spacing w:before="0" w:after="0" w:line="528" w:lineRule="exact"/>
        <w:ind w:left="146" w:right="0" w:firstLine="0"/>
        <w:jc w:val="left"/>
      </w:pPr>
      <w:r>
        <w:tab/>
      </w:r>
      <w:r>
        <w:rPr>
          <w:rFonts w:ascii="仿宋" w:hAnsi="仿宋" w:eastAsia="仿宋"/>
          <w:b w:val="0"/>
          <w:i w:val="0"/>
          <w:color w:val="000000"/>
          <w:sz w:val="32"/>
        </w:rPr>
        <w:t>2.研学课程设计资源类型和资源点范围</w:t>
      </w:r>
      <w:r>
        <w:br w:type="textWrapping"/>
      </w:r>
      <w:r>
        <w:tab/>
      </w:r>
      <w:r>
        <w:rPr>
          <w:rFonts w:ascii="仿宋" w:hAnsi="仿宋" w:eastAsia="仿宋"/>
          <w:b w:val="0"/>
          <w:i w:val="0"/>
          <w:color w:val="000000"/>
          <w:sz w:val="32"/>
        </w:rPr>
        <w:t>根据山东省研学资源优势确定的12个资源类型和24个资源点，开展研学实践课程设计。本模块考察选手对研学主题、研学目标的分析能力、研学对象的需求分析能力、研学旅行课程设计能力以及研学旅行课程方案的文字编辑综合能力。</w:t>
      </w:r>
    </w:p>
    <w:p w14:paraId="58F0759E">
      <w:pPr>
        <w:widowControl/>
        <w:tabs>
          <w:tab w:val="left" w:pos="806"/>
          <w:tab w:val="left" w:pos="1094"/>
        </w:tabs>
        <w:autoSpaceDE w:val="0"/>
        <w:autoSpaceDN w:val="0"/>
        <w:spacing w:before="0" w:after="0" w:line="580" w:lineRule="exact"/>
        <w:ind w:left="780" w:right="0" w:firstLine="0"/>
        <w:jc w:val="left"/>
      </w:pPr>
      <w:r>
        <w:rPr>
          <w:rFonts w:ascii="仿宋" w:hAnsi="仿宋" w:eastAsia="仿宋"/>
          <w:b w:val="0"/>
          <w:i w:val="0"/>
          <w:color w:val="000000"/>
          <w:sz w:val="32"/>
        </w:rPr>
        <w:t>研学资源类型和资源点如下：</w:t>
      </w:r>
      <w:r>
        <w:br w:type="textWrapping"/>
      </w:r>
      <w:r>
        <w:rPr>
          <w:rFonts w:ascii="仿宋" w:hAnsi="仿宋" w:eastAsia="仿宋"/>
          <w:b w:val="0"/>
          <w:i w:val="0"/>
          <w:color w:val="000000"/>
          <w:sz w:val="32"/>
        </w:rPr>
        <w:t>（1）黄河文化（山东博物馆、黄河口生态旅游区）</w:t>
      </w:r>
      <w:r>
        <w:br w:type="textWrapping"/>
      </w:r>
      <w:r>
        <w:rPr>
          <w:rFonts w:ascii="仿宋" w:hAnsi="仿宋" w:eastAsia="仿宋"/>
          <w:b w:val="0"/>
          <w:i w:val="0"/>
          <w:color w:val="000000"/>
          <w:sz w:val="32"/>
        </w:rPr>
        <w:t>（2）儒家文化（曲阜三孔景区、尼山圣境）</w:t>
      </w:r>
      <w:r>
        <w:br w:type="textWrapping"/>
      </w:r>
      <w:r>
        <w:rPr>
          <w:rFonts w:ascii="仿宋" w:hAnsi="仿宋" w:eastAsia="仿宋"/>
          <w:b w:val="0"/>
          <w:i w:val="0"/>
          <w:color w:val="000000"/>
          <w:sz w:val="32"/>
        </w:rPr>
        <w:t>（3）齐文化（齐文化博物馆、青州古城）</w:t>
      </w:r>
      <w:r>
        <w:br w:type="textWrapping"/>
      </w:r>
      <w:r>
        <w:rPr>
          <w:rFonts w:ascii="仿宋" w:hAnsi="仿宋" w:eastAsia="仿宋"/>
          <w:b w:val="0"/>
          <w:i w:val="0"/>
          <w:color w:val="000000"/>
          <w:sz w:val="32"/>
        </w:rPr>
        <w:t>（4）泰山文化（泰山、岱庙）</w:t>
      </w:r>
      <w:r>
        <w:br w:type="textWrapping"/>
      </w:r>
      <w:r>
        <w:rPr>
          <w:rFonts w:ascii="仿宋" w:hAnsi="仿宋" w:eastAsia="仿宋"/>
          <w:b w:val="0"/>
          <w:i w:val="0"/>
          <w:color w:val="000000"/>
          <w:sz w:val="32"/>
        </w:rPr>
        <w:t>（5）海洋文化（崂山风景区、蓬莱海洋极地世界）</w:t>
      </w:r>
      <w:r>
        <w:br w:type="textWrapping"/>
      </w:r>
      <w:r>
        <w:rPr>
          <w:rFonts w:ascii="仿宋" w:hAnsi="仿宋" w:eastAsia="仿宋"/>
          <w:b w:val="0"/>
          <w:i w:val="0"/>
          <w:color w:val="000000"/>
          <w:sz w:val="32"/>
        </w:rPr>
        <w:t>（6）运河文化（中国运河文化博物馆、台儿庄古城）（7）</w:t>
      </w:r>
      <w:r>
        <w:rPr>
          <w:rFonts w:ascii="仿宋" w:hAnsi="仿宋" w:eastAsia="仿宋"/>
          <w:b w:val="0"/>
          <w:i w:val="0"/>
          <w:color w:val="000000"/>
          <w:sz w:val="31"/>
        </w:rPr>
        <w:t>泉水文化（天下第一泉风景区、明水古城百脉泉景区）</w:t>
      </w:r>
      <w:r>
        <w:rPr>
          <w:rFonts w:ascii="仿宋" w:hAnsi="仿宋" w:eastAsia="仿宋"/>
          <w:b w:val="0"/>
          <w:i w:val="0"/>
          <w:color w:val="000000"/>
          <w:sz w:val="32"/>
        </w:rPr>
        <w:t>（8）红色文化（沂蒙山风景区、金乡鲁西南战役纪念馆）（9）渔家文化（微山湖旅游区、日照刘家湾赶海园）（10）生态文化（德州太阳谷博物馆、菏泽曹州牡丹园）（11）科技教育（山东科技馆、青岛海信探索中心）</w:t>
      </w:r>
      <w:r>
        <w:br w:type="textWrapping"/>
      </w:r>
      <w:r>
        <w:rPr>
          <w:rFonts w:ascii="仿宋" w:hAnsi="仿宋" w:eastAsia="仿宋"/>
          <w:b w:val="0"/>
          <w:i w:val="0"/>
          <w:color w:val="000000"/>
          <w:sz w:val="32"/>
        </w:rPr>
        <w:t>（12）国防教育（中国海军博物馆、刘公岛）</w:t>
      </w:r>
      <w:r>
        <w:br w:type="textWrapping"/>
      </w:r>
      <w:r>
        <w:tab/>
      </w:r>
      <w:r>
        <w:tab/>
      </w:r>
      <w:r>
        <w:rPr>
          <w:rFonts w:ascii="仿宋" w:hAnsi="仿宋" w:eastAsia="仿宋"/>
          <w:b w:val="0"/>
          <w:i w:val="0"/>
          <w:color w:val="000000"/>
          <w:sz w:val="32"/>
        </w:rPr>
        <w:t>备注：中国运河博物馆含聊城和济宁两地。</w:t>
      </w:r>
    </w:p>
    <w:p w14:paraId="3EC7CAAE">
      <w:pPr>
        <w:widowControl/>
        <w:autoSpaceDE w:val="0"/>
        <w:autoSpaceDN w:val="0"/>
        <w:spacing w:before="2" w:after="0" w:line="580" w:lineRule="exact"/>
        <w:ind w:left="780" w:right="0" w:firstLine="0"/>
        <w:jc w:val="left"/>
      </w:pPr>
      <w:r>
        <w:rPr>
          <w:rFonts w:ascii="仿宋" w:hAnsi="仿宋" w:eastAsia="仿宋"/>
          <w:b w:val="0"/>
          <w:i w:val="0"/>
          <w:color w:val="000000"/>
          <w:sz w:val="32"/>
        </w:rPr>
        <w:t>3.初赛提交研学课程设计方案和视频作品说明</w:t>
      </w:r>
      <w:r>
        <w:br w:type="textWrapping"/>
      </w:r>
      <w:r>
        <w:rPr>
          <w:rFonts w:ascii="仿宋" w:hAnsi="仿宋" w:eastAsia="仿宋"/>
          <w:b w:val="0"/>
          <w:i w:val="0"/>
          <w:color w:val="000000"/>
          <w:sz w:val="32"/>
        </w:rPr>
        <w:t>采用竞赛组委会给定的 12 个资源类型 24 个资源点里面研学</w:t>
      </w:r>
      <w:r>
        <w:rPr>
          <w:rFonts w:hint="eastAsia" w:ascii="仿宋" w:hAnsi="仿宋" w:eastAsia="仿宋"/>
          <w:b w:val="0"/>
          <w:i w:val="0"/>
          <w:color w:val="000000"/>
          <w:sz w:val="32"/>
          <w:lang w:eastAsia="zh-CN"/>
        </w:rPr>
        <w:t>。</w:t>
      </w:r>
      <w:r>
        <w:rPr>
          <w:rFonts w:ascii="仿宋" w:hAnsi="仿宋" w:eastAsia="仿宋"/>
          <w:b w:val="0"/>
          <w:i w:val="0"/>
          <w:color w:val="000000"/>
          <w:sz w:val="32"/>
        </w:rPr>
        <w:t>要素自由选择和组合，研学课程方案格式不作限制，内容包含但不限于：课程主题、课程目标、课程对象、课程时间、师资配置、课程内容、课程评价、课后任务，按研学时长为 1 天进行研学课程方案设计。研学主题、行程时间、研学活动不限，面向对象须为中小学生，学生年级自选。学生研学手册格式不作限制，内容包含但不限于：封面、前言、目录、课程目标、行前准备、课程内容、课程实施、课程评价、成果展示、附录。手册格式不作限制，但须与课程方案相匹配，设计研学对象使用的学习手册。</w:t>
      </w:r>
    </w:p>
    <w:p w14:paraId="6B8B894D">
      <w:pPr>
        <w:widowControl/>
        <w:autoSpaceDE w:val="0"/>
        <w:autoSpaceDN w:val="0"/>
        <w:spacing w:before="0" w:after="0" w:line="580" w:lineRule="exact"/>
        <w:ind w:left="146" w:right="182" w:firstLine="634"/>
        <w:jc w:val="both"/>
      </w:pPr>
      <w:r>
        <w:rPr>
          <w:rFonts w:ascii="仿宋" w:hAnsi="仿宋" w:eastAsia="仿宋"/>
          <w:b w:val="0"/>
          <w:i w:val="0"/>
          <w:color w:val="000000"/>
          <w:sz w:val="32"/>
        </w:rPr>
        <w:t>提交研学课程设计方案格式为 PDF 格式，大小不超过 5M。1分钟课程介绍视频要求本人要出镜，大小不超过 25M，格式为MP4，清晰度 720P。研学课程设计方案和 1 分钟视频文件，命名格式为：身份证后 6 位+研学课程方案主题（命名和内容不得出现个人单位和姓名信息），报名成功后发送到 2024 年山东省研学旅游指导师职业技能竞赛初赛平台上。</w:t>
      </w:r>
    </w:p>
    <w:p w14:paraId="6F08D92D">
      <w:pPr>
        <w:bidi w:val="0"/>
        <w:sectPr>
          <w:pgSz w:w="11906" w:h="16838"/>
          <w:pgMar w:top="1144" w:right="1292" w:bottom="498" w:left="1440" w:header="720" w:footer="720" w:gutter="0"/>
          <w:cols w:space="720" w:num="1"/>
          <w:docGrid w:linePitch="360" w:charSpace="0"/>
        </w:sectPr>
      </w:pPr>
      <w:r>
        <w:tab/>
      </w:r>
      <w:r>
        <w:rPr>
          <w:rFonts w:ascii="仿宋" w:hAnsi="仿宋" w:eastAsia="仿宋"/>
          <w:b w:val="0"/>
          <w:i w:val="0"/>
          <w:color w:val="000000"/>
          <w:sz w:val="32"/>
        </w:rPr>
        <w:t>4.决赛环节说明</w:t>
      </w:r>
      <w:r>
        <w:br w:type="textWrapping"/>
      </w:r>
      <w:r>
        <w:tab/>
      </w:r>
      <w:r>
        <w:rPr>
          <w:rFonts w:ascii="仿宋" w:hAnsi="仿宋" w:eastAsia="仿宋"/>
          <w:b w:val="0"/>
          <w:i w:val="0"/>
          <w:color w:val="000000"/>
          <w:sz w:val="32"/>
        </w:rPr>
        <w:t>决赛环节在校内网络平台上完成理论知识测试，研学课程设计通过上机在课程开发网络平台上完成，根据抽选资源类型进行设计操作，决赛时将对所有研学资源点图片提出样片 5 张可供自由选择，也可不选用。研学技能实操展示时要与上机抽选资源类型一致进行展示，突出相关性、教育性、创新性、先进性、实用性、艺术性。本环节限时 4 分钟，需参赛选手独立完成，不允许</w:t>
      </w:r>
    </w:p>
    <w:p w14:paraId="3C0576B4">
      <w:pPr>
        <w:widowControl/>
        <w:autoSpaceDE w:val="0"/>
        <w:autoSpaceDN w:val="0"/>
        <w:spacing w:before="0" w:after="0" w:line="318" w:lineRule="exact"/>
        <w:ind w:right="0"/>
        <w:jc w:val="left"/>
      </w:pPr>
      <w:r>
        <w:rPr>
          <w:rFonts w:ascii="仿宋" w:hAnsi="仿宋" w:eastAsia="仿宋"/>
          <w:b w:val="0"/>
          <w:i w:val="0"/>
          <w:color w:val="000000"/>
          <w:sz w:val="32"/>
        </w:rPr>
        <w:t>使用道具、不允许助演。</w:t>
      </w:r>
    </w:p>
    <w:p w14:paraId="7D3DEF30">
      <w:pPr>
        <w:widowControl/>
        <w:autoSpaceDE w:val="0"/>
        <w:autoSpaceDN w:val="0"/>
        <w:spacing w:before="2" w:after="0" w:line="580" w:lineRule="exact"/>
        <w:ind w:left="780" w:right="288" w:firstLine="0"/>
        <w:jc w:val="left"/>
      </w:pPr>
      <w:r>
        <w:rPr>
          <w:rFonts w:ascii="仿宋" w:hAnsi="仿宋" w:eastAsia="仿宋"/>
          <w:b w:val="0"/>
          <w:i w:val="0"/>
          <w:color w:val="000000"/>
          <w:sz w:val="32"/>
        </w:rPr>
        <w:t>5.其他说明</w:t>
      </w:r>
      <w:r>
        <w:br w:type="textWrapping"/>
      </w:r>
      <w:r>
        <w:rPr>
          <w:rFonts w:ascii="仿宋" w:hAnsi="仿宋" w:eastAsia="仿宋"/>
          <w:b w:val="0"/>
          <w:i w:val="0"/>
          <w:color w:val="000000"/>
          <w:sz w:val="32"/>
        </w:rPr>
        <w:t>本次竞赛不收取参赛费用，参赛选手住宿、交通费自理。</w:t>
      </w:r>
    </w:p>
    <w:p w14:paraId="715C4618">
      <w:pPr>
        <w:widowControl/>
        <w:autoSpaceDE w:val="0"/>
        <w:autoSpaceDN w:val="0"/>
        <w:spacing w:before="0" w:after="0" w:line="580" w:lineRule="exact"/>
        <w:ind w:left="780" w:right="2304" w:firstLine="0"/>
        <w:jc w:val="left"/>
      </w:pPr>
      <w:r>
        <w:rPr>
          <w:rFonts w:ascii="黑体" w:hAnsi="黑体" w:eastAsia="黑体"/>
          <w:b w:val="0"/>
          <w:i w:val="0"/>
          <w:color w:val="000000"/>
          <w:sz w:val="32"/>
        </w:rPr>
        <w:t>八、奖项设置</w:t>
      </w:r>
      <w:r>
        <w:br w:type="textWrapping"/>
      </w:r>
      <w:r>
        <w:rPr>
          <w:rFonts w:ascii="仿宋" w:hAnsi="仿宋" w:eastAsia="仿宋"/>
          <w:b w:val="0"/>
          <w:i w:val="0"/>
          <w:color w:val="000000"/>
          <w:sz w:val="32"/>
        </w:rPr>
        <w:t>（一）奖励设置</w:t>
      </w:r>
      <w:r>
        <w:br w:type="textWrapping"/>
      </w:r>
      <w:r>
        <w:rPr>
          <w:rFonts w:ascii="仿宋" w:hAnsi="仿宋" w:eastAsia="仿宋"/>
          <w:b w:val="0"/>
          <w:i w:val="0"/>
          <w:color w:val="000000"/>
          <w:sz w:val="32"/>
        </w:rPr>
        <w:t>1.个人奖</w:t>
      </w:r>
      <w:r>
        <w:br w:type="textWrapping"/>
      </w:r>
      <w:r>
        <w:rPr>
          <w:rFonts w:ascii="仿宋" w:hAnsi="仿宋" w:eastAsia="仿宋"/>
          <w:b w:val="0"/>
          <w:i w:val="0"/>
          <w:color w:val="000000"/>
          <w:sz w:val="32"/>
        </w:rPr>
        <w:t>特等奖：各组别决赛获得前 5%的选手；一等奖：各组别决赛获得前 10%名的选手；二等奖：各组别决赛获得前 20%名的选手；三等奖：各组别决赛获得前 30%名的选手；优秀奖：进入省级决赛的其他选手。</w:t>
      </w:r>
    </w:p>
    <w:p w14:paraId="081229FF">
      <w:pPr>
        <w:widowControl/>
        <w:tabs>
          <w:tab w:val="left" w:pos="780"/>
        </w:tabs>
        <w:autoSpaceDE w:val="0"/>
        <w:autoSpaceDN w:val="0"/>
        <w:spacing w:before="0" w:after="0" w:line="580" w:lineRule="exact"/>
        <w:ind w:left="146" w:right="0" w:firstLine="0"/>
        <w:jc w:val="left"/>
      </w:pPr>
      <w:r>
        <w:tab/>
      </w:r>
      <w:r>
        <w:rPr>
          <w:rFonts w:ascii="仿宋" w:hAnsi="仿宋" w:eastAsia="仿宋"/>
          <w:b w:val="0"/>
          <w:i w:val="0"/>
          <w:color w:val="000000"/>
          <w:sz w:val="32"/>
        </w:rPr>
        <w:t>2.优秀组织奖</w:t>
      </w:r>
      <w:r>
        <w:br w:type="textWrapping"/>
      </w:r>
      <w:r>
        <w:tab/>
      </w:r>
      <w:r>
        <w:rPr>
          <w:rFonts w:ascii="仿宋" w:hAnsi="仿宋" w:eastAsia="仿宋"/>
          <w:b w:val="0"/>
          <w:i w:val="0"/>
          <w:color w:val="000000"/>
          <w:sz w:val="32"/>
        </w:rPr>
        <w:t>本次比赛活动中组织周密、团体成绩优异的代表队授予优秀组织奖。</w:t>
      </w:r>
    </w:p>
    <w:p w14:paraId="16B76189">
      <w:pPr>
        <w:widowControl/>
        <w:tabs>
          <w:tab w:val="left" w:pos="780"/>
        </w:tabs>
        <w:autoSpaceDE w:val="0"/>
        <w:autoSpaceDN w:val="0"/>
        <w:spacing w:before="0" w:after="0" w:line="580" w:lineRule="exact"/>
        <w:ind w:left="146" w:right="0" w:firstLine="0"/>
        <w:jc w:val="left"/>
      </w:pPr>
      <w:r>
        <w:tab/>
      </w:r>
      <w:r>
        <w:rPr>
          <w:rFonts w:ascii="仿宋" w:hAnsi="仿宋" w:eastAsia="仿宋"/>
          <w:b w:val="0"/>
          <w:i w:val="0"/>
          <w:color w:val="000000"/>
          <w:sz w:val="32"/>
        </w:rPr>
        <w:t>（二）奖励办法</w:t>
      </w:r>
      <w:r>
        <w:br w:type="textWrapping"/>
      </w:r>
      <w:r>
        <w:tab/>
      </w:r>
      <w:r>
        <w:rPr>
          <w:rFonts w:ascii="仿宋" w:hAnsi="仿宋" w:eastAsia="仿宋"/>
          <w:b w:val="0"/>
          <w:i w:val="0"/>
          <w:color w:val="000000"/>
          <w:sz w:val="32"/>
        </w:rPr>
        <w:t>1.组委会为获得本次大赛特等奖、一、二、三等奖选手和指导教师颁发证书。</w:t>
      </w:r>
    </w:p>
    <w:p w14:paraId="23385EED">
      <w:pPr>
        <w:widowControl/>
        <w:autoSpaceDE w:val="0"/>
        <w:autoSpaceDN w:val="0"/>
        <w:spacing w:before="0" w:after="0" w:line="580" w:lineRule="exact"/>
        <w:ind w:left="146" w:right="30" w:firstLine="634"/>
        <w:jc w:val="both"/>
      </w:pPr>
      <w:r>
        <w:rPr>
          <w:rFonts w:ascii="仿宋" w:hAnsi="仿宋" w:eastAsia="仿宋"/>
          <w:b w:val="0"/>
          <w:i w:val="0"/>
          <w:color w:val="000000"/>
          <w:sz w:val="32"/>
        </w:rPr>
        <w:t>2.职工组获得决赛第一名（特等奖）且符合条件的选手，由竞赛组委会按程序向山东省人力资源和社会保障厅推荐申报“山东省技术能手”。已获得“全国技术能手”“山东省技术能手”等称号的人员不再推荐申报。</w:t>
      </w:r>
    </w:p>
    <w:p w14:paraId="59C6D766">
      <w:pPr>
        <w:widowControl/>
        <w:autoSpaceDE w:val="0"/>
        <w:autoSpaceDN w:val="0"/>
        <w:spacing w:before="1436" w:after="0" w:line="200" w:lineRule="exact"/>
        <w:ind w:left="0" w:right="4412" w:firstLine="0"/>
        <w:jc w:val="right"/>
      </w:pPr>
      <w:r>
        <w:rPr>
          <w:rFonts w:ascii="TimesNewRomanPSMT" w:hAnsi="TimesNewRomanPSMT" w:eastAsia="TimesNewRomanPSMT"/>
          <w:b w:val="0"/>
          <w:i w:val="0"/>
          <w:color w:val="000000"/>
          <w:sz w:val="18"/>
        </w:rPr>
        <w:t>9</w:t>
      </w:r>
    </w:p>
    <w:p w14:paraId="7AC56CEA">
      <w:pPr>
        <w:sectPr>
          <w:pgSz w:w="11906" w:h="16838"/>
          <w:pgMar w:top="1144" w:right="1440" w:bottom="498" w:left="1440" w:header="720" w:footer="720" w:gutter="0"/>
          <w:cols w:space="720" w:num="1"/>
          <w:docGrid w:linePitch="360" w:charSpace="0"/>
        </w:sectPr>
      </w:pPr>
    </w:p>
    <w:p w14:paraId="062B6218">
      <w:pPr>
        <w:widowControl/>
        <w:autoSpaceDE w:val="0"/>
        <w:autoSpaceDN w:val="0"/>
        <w:spacing w:before="0" w:after="924" w:line="220" w:lineRule="exact"/>
        <w:ind w:left="0" w:right="0"/>
      </w:pPr>
    </w:p>
    <w:p w14:paraId="69264594">
      <w:pPr>
        <w:widowControl/>
        <w:autoSpaceDE w:val="0"/>
        <w:autoSpaceDN w:val="0"/>
        <w:spacing w:before="0" w:after="0" w:line="318" w:lineRule="exact"/>
        <w:ind w:left="780" w:right="0" w:firstLine="0"/>
        <w:jc w:val="left"/>
      </w:pPr>
      <w:r>
        <w:rPr>
          <w:rFonts w:ascii="仿宋" w:hAnsi="仿宋" w:eastAsia="仿宋"/>
          <w:b w:val="0"/>
          <w:i w:val="0"/>
          <w:color w:val="000000"/>
          <w:sz w:val="32"/>
        </w:rPr>
        <w:t>3.组委会为贡献突出的协办单位和支持单位颁发“突出贡献奖”。</w:t>
      </w:r>
    </w:p>
    <w:p w14:paraId="2E8A5599">
      <w:pPr>
        <w:widowControl/>
        <w:tabs>
          <w:tab w:val="left" w:pos="780"/>
        </w:tabs>
        <w:autoSpaceDE w:val="0"/>
        <w:autoSpaceDN w:val="0"/>
        <w:spacing w:before="2" w:after="0" w:line="580" w:lineRule="exact"/>
        <w:ind w:left="146" w:right="144" w:firstLine="0"/>
        <w:jc w:val="left"/>
      </w:pPr>
      <w:r>
        <w:tab/>
      </w:r>
      <w:r>
        <w:rPr>
          <w:rFonts w:ascii="黑体" w:hAnsi="黑体" w:eastAsia="黑体"/>
          <w:b w:val="0"/>
          <w:i w:val="0"/>
          <w:color w:val="000000"/>
          <w:sz w:val="32"/>
        </w:rPr>
        <w:t>九、大赛官网和联系方式</w:t>
      </w:r>
      <w:r>
        <w:br w:type="textWrapping"/>
      </w:r>
      <w:r>
        <w:tab/>
      </w:r>
      <w:r>
        <w:rPr>
          <w:rFonts w:ascii="仿宋" w:hAnsi="仿宋" w:eastAsia="仿宋"/>
          <w:b w:val="0"/>
          <w:i w:val="0"/>
          <w:color w:val="000000"/>
          <w:sz w:val="32"/>
        </w:rPr>
        <w:t>大赛信息发布官方网站：</w:t>
      </w:r>
      <w:r>
        <w:tab/>
      </w:r>
      <w:r>
        <w:rPr>
          <w:rFonts w:ascii="仿宋" w:hAnsi="仿宋" w:eastAsia="仿宋"/>
          <w:b w:val="0"/>
          <w:i w:val="0"/>
          <w:color w:val="000000"/>
          <w:sz w:val="32"/>
        </w:rPr>
        <w:t>大赛官方 QQ 群：635655621 （咨询问题在 QQ 群进行统一回复，请各位选手及时入群）</w:t>
      </w:r>
    </w:p>
    <w:p w14:paraId="176435A6">
      <w:pPr>
        <w:widowControl/>
        <w:autoSpaceDE w:val="0"/>
        <w:autoSpaceDN w:val="0"/>
        <w:spacing w:before="314" w:after="0" w:line="240" w:lineRule="auto"/>
        <w:ind w:left="0" w:right="0" w:firstLine="0"/>
        <w:jc w:val="center"/>
      </w:pPr>
      <w:r>
        <w:drawing>
          <wp:inline distT="0" distB="0" distL="114300" distR="114300">
            <wp:extent cx="1532890" cy="1896745"/>
            <wp:effectExtent l="0" t="0" r="1016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1532890" cy="1897379"/>
                    </a:xfrm>
                    <a:prstGeom prst="rect">
                      <a:avLst/>
                    </a:prstGeom>
                  </pic:spPr>
                </pic:pic>
              </a:graphicData>
            </a:graphic>
          </wp:inline>
        </w:drawing>
      </w:r>
    </w:p>
    <w:p w14:paraId="4E490DF6">
      <w:pPr>
        <w:spacing w:after="418"/>
        <w:sectPr>
          <w:pgSz w:w="11906" w:h="16838"/>
          <w:pgMar w:top="1144" w:right="1282" w:bottom="498" w:left="1440" w:header="720" w:footer="720" w:gutter="0"/>
          <w:cols w:space="720" w:num="1"/>
          <w:docGrid w:linePitch="360" w:charSpace="0"/>
        </w:sectPr>
      </w:pPr>
    </w:p>
    <w:p w14:paraId="458B7437">
      <w:pPr>
        <w:widowControl/>
        <w:autoSpaceDE w:val="0"/>
        <w:autoSpaceDN w:val="0"/>
        <w:spacing w:before="0" w:after="0" w:line="500" w:lineRule="exact"/>
        <w:ind w:left="780" w:right="144" w:firstLine="0"/>
        <w:jc w:val="left"/>
      </w:pPr>
      <w:r>
        <w:rPr>
          <w:rFonts w:ascii="仿宋" w:hAnsi="仿宋" w:eastAsia="仿宋"/>
          <w:b w:val="0"/>
          <w:i w:val="0"/>
          <w:color w:val="000000"/>
          <w:sz w:val="32"/>
        </w:rPr>
        <w:t>联系人：郭峻 13863782168</w:t>
      </w:r>
      <w:r>
        <w:rPr>
          <w:rFonts w:ascii="黑体" w:hAnsi="黑体" w:eastAsia="黑体"/>
          <w:b w:val="0"/>
          <w:i w:val="0"/>
          <w:color w:val="000000"/>
          <w:sz w:val="32"/>
        </w:rPr>
        <w:t>十、竞赛规则</w:t>
      </w:r>
      <w:r>
        <w:br w:type="textWrapping"/>
      </w:r>
    </w:p>
    <w:p w14:paraId="28552504">
      <w:pPr>
        <w:widowControl/>
        <w:autoSpaceDE w:val="0"/>
        <w:autoSpaceDN w:val="0"/>
        <w:spacing w:before="0" w:after="0" w:line="500" w:lineRule="exact"/>
        <w:ind w:left="780" w:right="144" w:firstLine="0"/>
        <w:jc w:val="left"/>
      </w:pPr>
      <w:r>
        <w:rPr>
          <w:rFonts w:ascii="仿宋" w:hAnsi="仿宋" w:eastAsia="仿宋"/>
          <w:b w:val="0"/>
          <w:i w:val="0"/>
          <w:color w:val="000000"/>
          <w:sz w:val="32"/>
        </w:rPr>
        <w:t>（一）参赛选手须知</w:t>
      </w:r>
      <w:r>
        <w:br w:type="textWrapping"/>
      </w:r>
      <w:r>
        <w:rPr>
          <w:rFonts w:ascii="仿宋" w:hAnsi="仿宋" w:eastAsia="仿宋"/>
          <w:b w:val="0"/>
          <w:i w:val="0"/>
          <w:color w:val="000000"/>
          <w:sz w:val="32"/>
        </w:rPr>
        <w:t>1.准备阶段</w:t>
      </w:r>
    </w:p>
    <w:p w14:paraId="7A561190">
      <w:pPr>
        <w:sectPr>
          <w:type w:val="continuous"/>
          <w:pgSz w:w="11906" w:h="16838"/>
          <w:pgMar w:top="1144" w:right="1282" w:bottom="498" w:left="1440" w:header="720" w:footer="720" w:gutter="0"/>
          <w:cols w:equalWidth="0" w:num="2">
            <w:col w:w="4650" w:space="0"/>
            <w:col w:w="4534"/>
          </w:cols>
          <w:docGrid w:linePitch="360" w:charSpace="0"/>
        </w:sectPr>
      </w:pPr>
    </w:p>
    <w:p w14:paraId="48A1FCAB">
      <w:pPr>
        <w:widowControl/>
        <w:autoSpaceDE w:val="0"/>
        <w:autoSpaceDN w:val="0"/>
        <w:spacing w:before="0" w:after="1920" w:line="318" w:lineRule="exact"/>
        <w:ind w:left="154" w:right="0" w:firstLine="0"/>
        <w:jc w:val="left"/>
        <w:rPr>
          <w:rFonts w:ascii="仿宋" w:hAnsi="仿宋" w:eastAsia="仿宋"/>
          <w:b w:val="0"/>
          <w:i w:val="0"/>
          <w:color w:val="000000"/>
          <w:sz w:val="32"/>
        </w:rPr>
      </w:pPr>
      <w:r>
        <w:rPr>
          <w:rFonts w:ascii="仿宋" w:hAnsi="仿宋" w:eastAsia="仿宋"/>
          <w:b w:val="0"/>
          <w:i w:val="0"/>
          <w:color w:val="000000"/>
          <w:sz w:val="32"/>
        </w:rPr>
        <w:t>张令伟 18660128699</w:t>
      </w:r>
    </w:p>
    <w:p w14:paraId="07223336">
      <w:pPr>
        <w:widowControl/>
        <w:autoSpaceDE w:val="0"/>
        <w:autoSpaceDN w:val="0"/>
        <w:spacing w:before="0" w:after="1920" w:line="318" w:lineRule="exact"/>
        <w:ind w:left="154" w:right="0" w:firstLine="0"/>
        <w:jc w:val="left"/>
      </w:pPr>
      <w:r>
        <w:rPr>
          <w:rFonts w:ascii="仿宋" w:hAnsi="仿宋" w:eastAsia="仿宋"/>
          <w:b w:val="0"/>
          <w:i w:val="0"/>
          <w:color w:val="000000"/>
          <w:sz w:val="32"/>
        </w:rPr>
        <w:t>（1）参赛选手须提供个人真实身份证明。凡弄虚作假者，将取消其比赛资格。</w:t>
      </w:r>
    </w:p>
    <w:p w14:paraId="079D1FB9">
      <w:pPr>
        <w:widowControl/>
        <w:tabs>
          <w:tab w:val="left" w:pos="780"/>
        </w:tabs>
        <w:autoSpaceDE w:val="0"/>
        <w:autoSpaceDN w:val="0"/>
        <w:spacing w:before="0" w:after="0" w:line="560" w:lineRule="exact"/>
        <w:ind w:left="146" w:right="144" w:firstLine="0"/>
        <w:jc w:val="left"/>
      </w:pPr>
      <w:r>
        <w:tab/>
      </w:r>
      <w:r>
        <w:rPr>
          <w:rFonts w:ascii="仿宋" w:hAnsi="仿宋" w:eastAsia="仿宋"/>
          <w:b w:val="0"/>
          <w:i w:val="0"/>
          <w:color w:val="000000"/>
          <w:sz w:val="32"/>
        </w:rPr>
        <w:t>（2）参赛选手按照赛程安排和具体时间前往指定地点。凭大赛执委会颁发的参赛证和身份证参加比赛及相关活动。</w:t>
      </w:r>
    </w:p>
    <w:p w14:paraId="4CDEC8C0">
      <w:pPr>
        <w:widowControl/>
        <w:autoSpaceDE w:val="0"/>
        <w:autoSpaceDN w:val="0"/>
        <w:spacing w:before="0" w:after="0" w:line="560" w:lineRule="exact"/>
        <w:ind w:left="146" w:right="190" w:firstLine="634"/>
        <w:jc w:val="both"/>
      </w:pPr>
      <w:r>
        <w:rPr>
          <w:rFonts w:ascii="仿宋" w:hAnsi="仿宋" w:eastAsia="仿宋"/>
          <w:b w:val="0"/>
          <w:i w:val="0"/>
          <w:color w:val="000000"/>
          <w:sz w:val="32"/>
        </w:rPr>
        <w:t>（3）参赛选手进行比赛前须检录。检录时应出示本人身份证及参赛证，检录合格后方可参赛。凡未按时检录或检录不合格者取消参赛资格。</w:t>
      </w:r>
    </w:p>
    <w:p w14:paraId="0D26B7F8">
      <w:pPr>
        <w:widowControl/>
        <w:autoSpaceDE w:val="0"/>
        <w:autoSpaceDN w:val="0"/>
        <w:spacing w:before="0" w:after="0" w:line="318" w:lineRule="exact"/>
        <w:ind w:left="780" w:right="0" w:firstLine="0"/>
        <w:jc w:val="left"/>
      </w:pPr>
      <w:r>
        <w:rPr>
          <w:rFonts w:ascii="仿宋" w:hAnsi="仿宋" w:eastAsia="仿宋"/>
          <w:b w:val="0"/>
          <w:i w:val="0"/>
          <w:color w:val="000000"/>
          <w:sz w:val="32"/>
        </w:rPr>
        <w:t>（4）参赛选手须仪表规范，着装干净整洁。</w:t>
      </w:r>
    </w:p>
    <w:p w14:paraId="06D12685">
      <w:pPr>
        <w:widowControl/>
        <w:autoSpaceDE w:val="0"/>
        <w:autoSpaceDN w:val="0"/>
        <w:spacing w:before="240" w:after="0" w:line="320" w:lineRule="exact"/>
        <w:ind w:left="780" w:right="0" w:firstLine="0"/>
        <w:jc w:val="left"/>
      </w:pPr>
      <w:r>
        <w:rPr>
          <w:rFonts w:ascii="仿宋" w:hAnsi="仿宋" w:eastAsia="仿宋"/>
          <w:b w:val="0"/>
          <w:i w:val="0"/>
          <w:color w:val="000000"/>
          <w:sz w:val="32"/>
        </w:rPr>
        <w:t>（5）参赛选手应自觉遵守赛场纪律，服从裁判、听从指挥。</w:t>
      </w:r>
    </w:p>
    <w:p w14:paraId="32BEA9E1">
      <w:pPr>
        <w:widowControl/>
        <w:tabs>
          <w:tab w:val="left" w:pos="780"/>
        </w:tabs>
        <w:autoSpaceDE w:val="0"/>
        <w:autoSpaceDN w:val="0"/>
        <w:spacing w:before="0" w:after="0" w:line="560" w:lineRule="exact"/>
        <w:ind w:left="146" w:right="0" w:firstLine="0"/>
        <w:jc w:val="left"/>
      </w:pPr>
      <w:r>
        <w:tab/>
      </w:r>
      <w:r>
        <w:rPr>
          <w:rFonts w:ascii="仿宋" w:hAnsi="仿宋" w:eastAsia="仿宋"/>
          <w:b w:val="0"/>
          <w:i w:val="0"/>
          <w:color w:val="000000"/>
          <w:sz w:val="32"/>
        </w:rPr>
        <w:t>2.比赛阶段</w:t>
      </w:r>
      <w:r>
        <w:br w:type="textWrapping"/>
      </w:r>
      <w:r>
        <w:tab/>
      </w:r>
      <w:r>
        <w:rPr>
          <w:rFonts w:ascii="仿宋" w:hAnsi="仿宋" w:eastAsia="仿宋"/>
          <w:b w:val="0"/>
          <w:i w:val="0"/>
          <w:color w:val="000000"/>
          <w:sz w:val="32"/>
        </w:rPr>
        <w:t>（1）“理论知识测试”和 “研学课程设计实操考核”环节，选手按组别在机房完成，按抽签顺序就座。</w:t>
      </w:r>
    </w:p>
    <w:p w14:paraId="43170572">
      <w:pPr>
        <w:widowControl/>
        <w:tabs>
          <w:tab w:val="left" w:pos="780"/>
        </w:tabs>
        <w:autoSpaceDE w:val="0"/>
        <w:autoSpaceDN w:val="0"/>
        <w:spacing w:before="0" w:after="0" w:line="560" w:lineRule="exact"/>
        <w:ind w:left="146" w:right="144" w:firstLine="0"/>
        <w:jc w:val="left"/>
      </w:pPr>
      <w:r>
        <w:tab/>
      </w:r>
      <w:r>
        <w:rPr>
          <w:rFonts w:ascii="仿宋" w:hAnsi="仿宋" w:eastAsia="仿宋"/>
          <w:b w:val="0"/>
          <w:i w:val="0"/>
          <w:color w:val="000000"/>
          <w:sz w:val="32"/>
        </w:rPr>
        <w:t>（2）“研学技能实操展示”环节，按序分组进行，各组依次按抽签顺序完成。</w:t>
      </w:r>
    </w:p>
    <w:p w14:paraId="0DA899E9">
      <w:pPr>
        <w:widowControl/>
        <w:tabs>
          <w:tab w:val="left" w:pos="780"/>
        </w:tabs>
        <w:autoSpaceDE w:val="0"/>
        <w:autoSpaceDN w:val="0"/>
        <w:spacing w:before="2" w:after="0" w:line="558" w:lineRule="exact"/>
        <w:ind w:left="146" w:right="0" w:firstLine="0"/>
        <w:jc w:val="left"/>
      </w:pPr>
      <w:r>
        <w:tab/>
      </w:r>
      <w:r>
        <w:rPr>
          <w:rFonts w:ascii="仿宋" w:hAnsi="仿宋" w:eastAsia="仿宋"/>
          <w:b w:val="0"/>
          <w:i w:val="0"/>
          <w:color w:val="000000"/>
          <w:sz w:val="32"/>
        </w:rPr>
        <w:t>（3）参赛选手须佩戴相关证件按照参赛时段提前 15 分钟到达检录地点进行候场，检录时间开始 15 分钟内未到取消比赛资格。</w:t>
      </w:r>
    </w:p>
    <w:p w14:paraId="13F6A12F">
      <w:pPr>
        <w:widowControl/>
        <w:tabs>
          <w:tab w:val="left" w:pos="780"/>
        </w:tabs>
        <w:autoSpaceDE w:val="0"/>
        <w:autoSpaceDN w:val="0"/>
        <w:spacing w:before="2" w:after="0" w:line="560" w:lineRule="exact"/>
        <w:ind w:left="146" w:right="144" w:firstLine="0"/>
        <w:jc w:val="left"/>
      </w:pPr>
      <w:r>
        <w:tab/>
      </w:r>
      <w:r>
        <w:rPr>
          <w:rFonts w:ascii="仿宋" w:hAnsi="仿宋" w:eastAsia="仿宋"/>
          <w:b w:val="0"/>
          <w:i w:val="0"/>
          <w:color w:val="000000"/>
          <w:sz w:val="32"/>
        </w:rPr>
        <w:t>（4）“研学技能实操展示”环节，参赛选手在主持人宣布“计时开始”后开始展示。</w:t>
      </w:r>
    </w:p>
    <w:p w14:paraId="0E784556">
      <w:pPr>
        <w:widowControl/>
        <w:tabs>
          <w:tab w:val="left" w:pos="780"/>
        </w:tabs>
        <w:autoSpaceDE w:val="0"/>
        <w:autoSpaceDN w:val="0"/>
        <w:spacing w:before="0" w:after="0" w:line="560" w:lineRule="exact"/>
        <w:ind w:left="146" w:right="144" w:firstLine="0"/>
        <w:jc w:val="left"/>
      </w:pPr>
      <w:r>
        <w:tab/>
      </w:r>
      <w:r>
        <w:rPr>
          <w:rFonts w:ascii="仿宋" w:hAnsi="仿宋" w:eastAsia="仿宋"/>
          <w:b w:val="0"/>
          <w:i w:val="0"/>
          <w:color w:val="000000"/>
          <w:sz w:val="32"/>
        </w:rPr>
        <w:t>（5）参赛选手在比赛中，不可出现所在单位及选手本人的任何信息。</w:t>
      </w:r>
    </w:p>
    <w:p w14:paraId="4C6E2EF6">
      <w:pPr>
        <w:widowControl/>
        <w:autoSpaceDE w:val="0"/>
        <w:autoSpaceDN w:val="0"/>
        <w:spacing w:before="2" w:after="0" w:line="558" w:lineRule="exact"/>
        <w:ind w:left="780" w:right="1584" w:firstLine="0"/>
        <w:jc w:val="left"/>
      </w:pPr>
      <w:r>
        <w:rPr>
          <w:rFonts w:ascii="仿宋" w:hAnsi="仿宋" w:eastAsia="仿宋"/>
          <w:b w:val="0"/>
          <w:i w:val="0"/>
          <w:color w:val="000000"/>
          <w:sz w:val="32"/>
        </w:rPr>
        <w:t>3.结束阶段</w:t>
      </w:r>
      <w:r>
        <w:br w:type="textWrapping"/>
      </w:r>
      <w:r>
        <w:rPr>
          <w:rFonts w:ascii="仿宋" w:hAnsi="仿宋" w:eastAsia="仿宋"/>
          <w:b w:val="0"/>
          <w:i w:val="0"/>
          <w:color w:val="000000"/>
          <w:sz w:val="32"/>
        </w:rPr>
        <w:t>（1）参赛选手完成各项目后即可离开比赛现场。</w:t>
      </w:r>
    </w:p>
    <w:p w14:paraId="31EB8C51">
      <w:pPr>
        <w:widowControl/>
        <w:autoSpaceDE w:val="0"/>
        <w:autoSpaceDN w:val="0"/>
        <w:spacing w:before="4" w:after="0" w:line="558" w:lineRule="exact"/>
        <w:ind w:left="146" w:right="180" w:firstLine="634"/>
        <w:jc w:val="both"/>
      </w:pPr>
      <w:r>
        <w:rPr>
          <w:rFonts w:ascii="仿宋" w:hAnsi="仿宋" w:eastAsia="仿宋"/>
          <w:b w:val="0"/>
          <w:i w:val="0"/>
          <w:color w:val="000000"/>
          <w:sz w:val="32"/>
        </w:rPr>
        <w:t>（2）参赛选手在竞赛期间未经组委会的批准，不得接受其他单位和个人进行的与竞赛内容相关的采访，不得私自公开竞赛的相关情况和资料。</w:t>
      </w:r>
    </w:p>
    <w:p w14:paraId="5A4EADD7">
      <w:pPr>
        <w:widowControl/>
        <w:tabs>
          <w:tab w:val="left" w:pos="780"/>
        </w:tabs>
        <w:autoSpaceDE w:val="0"/>
        <w:autoSpaceDN w:val="0"/>
        <w:spacing w:before="2" w:after="0" w:line="560" w:lineRule="exact"/>
        <w:ind w:left="146" w:right="144" w:firstLine="0"/>
        <w:jc w:val="left"/>
      </w:pPr>
      <w:r>
        <w:tab/>
      </w:r>
      <w:r>
        <w:rPr>
          <w:rFonts w:ascii="仿宋" w:hAnsi="仿宋" w:eastAsia="仿宋"/>
          <w:b w:val="0"/>
          <w:i w:val="0"/>
          <w:color w:val="000000"/>
          <w:sz w:val="32"/>
        </w:rPr>
        <w:t>（3）参赛选手在竞赛过程中须主动配合裁判的工作，服从裁判安排。</w:t>
      </w:r>
    </w:p>
    <w:p w14:paraId="109D2AFB">
      <w:pPr>
        <w:widowControl/>
        <w:autoSpaceDE w:val="0"/>
        <w:autoSpaceDN w:val="0"/>
        <w:spacing w:before="240" w:after="0" w:line="318" w:lineRule="exact"/>
        <w:ind w:left="780" w:right="0" w:firstLine="0"/>
        <w:jc w:val="left"/>
        <w:rPr>
          <w:rFonts w:hint="eastAsia" w:eastAsia="仿宋"/>
          <w:lang w:eastAsia="zh-CN"/>
        </w:rPr>
        <w:sectPr>
          <w:pgSz w:w="11906" w:h="16838"/>
          <w:pgMar w:top="1138" w:right="1292" w:bottom="498" w:left="1440" w:header="720" w:footer="720" w:gutter="0"/>
          <w:cols w:space="720" w:num="1"/>
          <w:docGrid w:linePitch="360" w:charSpace="0"/>
        </w:sectPr>
      </w:pPr>
      <w:r>
        <w:rPr>
          <w:rFonts w:ascii="仿宋" w:hAnsi="仿宋" w:eastAsia="仿宋"/>
          <w:b w:val="0"/>
          <w:i w:val="0"/>
          <w:color w:val="000000"/>
          <w:sz w:val="32"/>
        </w:rPr>
        <w:t>（4）本竞赛项目的最终解释权归大赛组委会</w:t>
      </w:r>
      <w:r>
        <w:rPr>
          <w:rFonts w:hint="eastAsia" w:ascii="仿宋" w:hAnsi="仿宋" w:eastAsia="仿宋"/>
          <w:b w:val="0"/>
          <w:i w:val="0"/>
          <w:color w:val="000000"/>
          <w:sz w:val="32"/>
          <w:lang w:eastAsia="zh-CN"/>
        </w:rPr>
        <w:t>。</w:t>
      </w:r>
    </w:p>
    <w:p w14:paraId="3154CA97">
      <w:pPr>
        <w:widowControl/>
        <w:autoSpaceDE w:val="0"/>
        <w:autoSpaceDN w:val="0"/>
        <w:spacing w:before="0" w:after="916" w:line="220" w:lineRule="exact"/>
        <w:ind w:left="0" w:right="0"/>
      </w:pPr>
    </w:p>
    <w:p w14:paraId="4C90171A">
      <w:pPr>
        <w:keepNext w:val="0"/>
        <w:keepLines w:val="0"/>
        <w:pageBreakBefore w:val="0"/>
        <w:widowControl/>
        <w:tabs>
          <w:tab w:val="left" w:pos="780"/>
        </w:tabs>
        <w:kinsoku/>
        <w:wordWrap/>
        <w:overflowPunct/>
        <w:topLinePunct w:val="0"/>
        <w:autoSpaceDE w:val="0"/>
        <w:autoSpaceDN w:val="0"/>
        <w:bidi w:val="0"/>
        <w:adjustRightInd/>
        <w:snapToGrid/>
        <w:spacing w:before="0" w:after="0" w:line="478" w:lineRule="exact"/>
        <w:ind w:left="147" w:right="0" w:firstLine="440" w:firstLineChars="200"/>
        <w:jc w:val="left"/>
        <w:textAlignment w:val="auto"/>
      </w:pPr>
      <w:r>
        <w:tab/>
      </w:r>
      <w:r>
        <w:rPr>
          <w:rFonts w:ascii="仿宋" w:hAnsi="仿宋" w:eastAsia="仿宋"/>
          <w:b w:val="0"/>
          <w:i w:val="0"/>
          <w:color w:val="000000"/>
          <w:sz w:val="32"/>
        </w:rPr>
        <w:t>（二）工作人员须知</w:t>
      </w:r>
      <w:r>
        <w:br w:type="textWrapping"/>
      </w:r>
      <w:r>
        <w:tab/>
      </w:r>
      <w:r>
        <w:rPr>
          <w:rFonts w:ascii="仿宋" w:hAnsi="仿宋" w:eastAsia="仿宋"/>
          <w:b w:val="0"/>
          <w:i w:val="0"/>
          <w:color w:val="000000"/>
          <w:sz w:val="32"/>
        </w:rPr>
        <w:t>1.工作人员必须统一佩戴由大赛执委会办公室签发的相应证件，着装整齐。</w:t>
      </w:r>
    </w:p>
    <w:p w14:paraId="19487F9A">
      <w:pPr>
        <w:widowControl/>
        <w:tabs>
          <w:tab w:val="left" w:pos="780"/>
        </w:tabs>
        <w:autoSpaceDE w:val="0"/>
        <w:autoSpaceDN w:val="0"/>
        <w:spacing w:before="2" w:after="0" w:line="560" w:lineRule="exact"/>
        <w:ind w:left="146" w:right="0" w:firstLine="0"/>
        <w:jc w:val="left"/>
      </w:pPr>
      <w:r>
        <w:tab/>
      </w:r>
      <w:r>
        <w:rPr>
          <w:rFonts w:ascii="仿宋" w:hAnsi="仿宋" w:eastAsia="仿宋"/>
          <w:b w:val="0"/>
          <w:i w:val="0"/>
          <w:color w:val="000000"/>
          <w:sz w:val="32"/>
        </w:rPr>
        <w:t>2.工作人员不得影响参赛选手比赛，不允许有影响比赛公平的行为。</w:t>
      </w:r>
    </w:p>
    <w:p w14:paraId="6DEC55D0">
      <w:pPr>
        <w:widowControl/>
        <w:tabs>
          <w:tab w:val="left" w:pos="780"/>
        </w:tabs>
        <w:autoSpaceDE w:val="0"/>
        <w:autoSpaceDN w:val="0"/>
        <w:spacing w:before="0" w:after="0" w:line="560" w:lineRule="exact"/>
        <w:ind w:left="146" w:right="0" w:firstLine="0"/>
        <w:jc w:val="left"/>
      </w:pPr>
      <w:r>
        <w:tab/>
      </w:r>
      <w:r>
        <w:rPr>
          <w:rFonts w:ascii="仿宋" w:hAnsi="仿宋" w:eastAsia="仿宋"/>
          <w:b w:val="0"/>
          <w:i w:val="0"/>
          <w:color w:val="000000"/>
          <w:sz w:val="32"/>
        </w:rPr>
        <w:t>3.服从领导，听从指挥，以高度负责的精神、严肃认真的态度做好各项工作。</w:t>
      </w:r>
    </w:p>
    <w:p w14:paraId="523BEC77">
      <w:pPr>
        <w:widowControl/>
        <w:tabs>
          <w:tab w:val="left" w:pos="780"/>
        </w:tabs>
        <w:autoSpaceDE w:val="0"/>
        <w:autoSpaceDN w:val="0"/>
        <w:spacing w:before="0" w:after="0" w:line="560" w:lineRule="exact"/>
        <w:ind w:left="146" w:right="0" w:firstLine="0"/>
        <w:jc w:val="left"/>
      </w:pPr>
      <w:r>
        <w:tab/>
      </w:r>
      <w:r>
        <w:rPr>
          <w:rFonts w:ascii="仿宋" w:hAnsi="仿宋" w:eastAsia="仿宋"/>
          <w:b w:val="0"/>
          <w:i w:val="0"/>
          <w:color w:val="000000"/>
          <w:sz w:val="32"/>
        </w:rPr>
        <w:t>4. 熟悉比赛规程，认真遵守各项比赛规则和工作要求。</w:t>
      </w:r>
      <w:r>
        <w:tab/>
      </w:r>
      <w:r>
        <w:rPr>
          <w:rFonts w:ascii="仿宋" w:hAnsi="仿宋" w:eastAsia="仿宋"/>
          <w:b w:val="0"/>
          <w:i w:val="0"/>
          <w:color w:val="000000"/>
          <w:sz w:val="32"/>
        </w:rPr>
        <w:t>5.坚守岗位，如有急事需要离开岗位时，应经领导同意，并做好工作衔接。</w:t>
      </w:r>
    </w:p>
    <w:p w14:paraId="32DBB475">
      <w:pPr>
        <w:widowControl/>
        <w:tabs>
          <w:tab w:val="left" w:pos="780"/>
        </w:tabs>
        <w:autoSpaceDE w:val="0"/>
        <w:autoSpaceDN w:val="0"/>
        <w:spacing w:before="0" w:after="0" w:line="560" w:lineRule="exact"/>
        <w:ind w:left="146" w:right="0" w:firstLine="0"/>
        <w:jc w:val="left"/>
      </w:pPr>
      <w:r>
        <w:tab/>
      </w:r>
      <w:r>
        <w:rPr>
          <w:rFonts w:ascii="仿宋" w:hAnsi="仿宋" w:eastAsia="仿宋"/>
          <w:b w:val="0"/>
          <w:i w:val="0"/>
          <w:color w:val="000000"/>
          <w:sz w:val="32"/>
        </w:rPr>
        <w:t>6.严格遵守比赛纪律，如发现其他人员有违反比赛纪律的行为，应予以制止。情节严重的，应向竞赛组委会反映。</w:t>
      </w:r>
      <w:r>
        <w:br w:type="textWrapping"/>
      </w:r>
      <w:r>
        <w:tab/>
      </w:r>
      <w:r>
        <w:rPr>
          <w:rFonts w:ascii="仿宋" w:hAnsi="仿宋" w:eastAsia="仿宋"/>
          <w:b w:val="0"/>
          <w:i w:val="0"/>
          <w:color w:val="000000"/>
          <w:sz w:val="32"/>
        </w:rPr>
        <w:t>7.发扬无私奉献和团结协作的精神，提供热情、优质服务。</w:t>
      </w:r>
      <w:r>
        <w:tab/>
      </w:r>
      <w:r>
        <w:rPr>
          <w:rFonts w:ascii="仿宋" w:hAnsi="仿宋" w:eastAsia="仿宋"/>
          <w:b w:val="0"/>
          <w:i w:val="0"/>
          <w:color w:val="000000"/>
          <w:sz w:val="32"/>
        </w:rPr>
        <w:t>8.新闻媒体等进入赛场必须经执委会允许，由专人陪同并且听从现场工作人员的安排和管理，不能影响比赛进行。</w:t>
      </w:r>
    </w:p>
    <w:p w14:paraId="4CE6D44D">
      <w:pPr>
        <w:widowControl/>
        <w:tabs>
          <w:tab w:val="left" w:pos="780"/>
        </w:tabs>
        <w:autoSpaceDE w:val="0"/>
        <w:autoSpaceDN w:val="0"/>
        <w:spacing w:before="2" w:after="0" w:line="560" w:lineRule="exact"/>
        <w:ind w:left="146" w:right="0" w:firstLine="0"/>
        <w:jc w:val="left"/>
      </w:pPr>
      <w:r>
        <w:tab/>
      </w:r>
      <w:r>
        <w:rPr>
          <w:rFonts w:ascii="仿宋" w:hAnsi="仿宋" w:eastAsia="仿宋"/>
          <w:b w:val="0"/>
          <w:i w:val="0"/>
          <w:color w:val="000000"/>
          <w:sz w:val="32"/>
        </w:rPr>
        <w:t>（三）处罚措施</w:t>
      </w:r>
      <w:r>
        <w:br w:type="textWrapping"/>
      </w:r>
      <w:r>
        <w:tab/>
      </w:r>
      <w:r>
        <w:rPr>
          <w:rFonts w:ascii="仿宋" w:hAnsi="仿宋" w:eastAsia="仿宋"/>
          <w:b w:val="0"/>
          <w:i w:val="0"/>
          <w:color w:val="000000"/>
          <w:sz w:val="32"/>
        </w:rPr>
        <w:t>1.因参赛选手原因造成重大安全事故的，取消其获奖资格。</w:t>
      </w:r>
      <w:r>
        <w:tab/>
      </w:r>
      <w:r>
        <w:rPr>
          <w:rFonts w:ascii="仿宋" w:hAnsi="仿宋" w:eastAsia="仿宋"/>
          <w:b w:val="0"/>
          <w:i w:val="0"/>
          <w:color w:val="000000"/>
          <w:sz w:val="32"/>
        </w:rPr>
        <w:t>2.参赛选手有发生重大安全事故隐患，经赛场工作人员提示、警告无效的，可取消其继续比赛的资格。</w:t>
      </w:r>
    </w:p>
    <w:p w14:paraId="5E8BD434">
      <w:pPr>
        <w:widowControl/>
        <w:tabs>
          <w:tab w:val="left" w:pos="780"/>
        </w:tabs>
        <w:autoSpaceDE w:val="0"/>
        <w:autoSpaceDN w:val="0"/>
        <w:spacing w:before="2" w:after="0" w:line="558" w:lineRule="exact"/>
        <w:ind w:left="146" w:right="0" w:firstLine="0"/>
        <w:jc w:val="left"/>
      </w:pPr>
      <w:r>
        <w:tab/>
      </w:r>
      <w:r>
        <w:rPr>
          <w:rFonts w:ascii="仿宋" w:hAnsi="仿宋" w:eastAsia="仿宋"/>
          <w:b w:val="0"/>
          <w:i w:val="0"/>
          <w:color w:val="000000"/>
          <w:sz w:val="32"/>
        </w:rPr>
        <w:t>3.赛事工作人员违规的，按照相应的制度追究责任。情节恶劣并造成重大安全事故的，由司法机关追究相应法律责任。</w:t>
      </w:r>
    </w:p>
    <w:p w14:paraId="63C83E07">
      <w:pPr>
        <w:widowControl/>
        <w:autoSpaceDE w:val="0"/>
        <w:autoSpaceDN w:val="0"/>
        <w:spacing w:before="1854" w:after="0" w:line="200" w:lineRule="exact"/>
        <w:ind w:left="0" w:right="4366" w:firstLine="0"/>
        <w:jc w:val="right"/>
        <w:sectPr>
          <w:pgSz w:w="11906" w:h="16838"/>
          <w:pgMar w:top="1138" w:right="1440" w:bottom="498" w:left="1440" w:header="720" w:footer="720" w:gutter="0"/>
          <w:cols w:space="720" w:num="1"/>
          <w:docGrid w:linePitch="360" w:charSpace="0"/>
        </w:sectPr>
      </w:pPr>
      <w:r>
        <w:rPr>
          <w:rFonts w:ascii="TimesNewRomanPSMT" w:hAnsi="TimesNewRomanPSMT" w:eastAsia="TimesNewRomanPSMT"/>
          <w:b w:val="0"/>
          <w:i w:val="0"/>
          <w:color w:val="000000"/>
          <w:sz w:val="18"/>
        </w:rPr>
        <w:t>12</w:t>
      </w:r>
    </w:p>
    <w:p w14:paraId="2225B9D6">
      <w:pPr>
        <w:widowControl/>
        <w:autoSpaceDE w:val="0"/>
        <w:autoSpaceDN w:val="0"/>
        <w:spacing w:before="0" w:after="916" w:line="220" w:lineRule="exact"/>
        <w:ind w:left="0" w:right="0"/>
      </w:pPr>
    </w:p>
    <w:p w14:paraId="3F3990CB">
      <w:pPr>
        <w:widowControl/>
        <w:tabs>
          <w:tab w:val="left" w:pos="780"/>
        </w:tabs>
        <w:autoSpaceDE w:val="0"/>
        <w:autoSpaceDN w:val="0"/>
        <w:spacing w:before="0" w:after="0" w:line="542" w:lineRule="exact"/>
        <w:ind w:left="146" w:right="0" w:firstLine="0"/>
        <w:jc w:val="left"/>
      </w:pPr>
      <w:r>
        <w:tab/>
      </w:r>
      <w:r>
        <w:rPr>
          <w:rFonts w:ascii="黑体" w:hAnsi="黑体" w:eastAsia="黑体"/>
          <w:b w:val="0"/>
          <w:i w:val="0"/>
          <w:color w:val="000000"/>
          <w:sz w:val="32"/>
        </w:rPr>
        <w:t>十一、技术规范和平台</w:t>
      </w:r>
      <w:r>
        <w:br w:type="textWrapping"/>
      </w:r>
      <w:r>
        <w:tab/>
      </w:r>
      <w:r>
        <w:rPr>
          <w:rFonts w:ascii="仿宋" w:hAnsi="仿宋" w:eastAsia="仿宋"/>
          <w:b w:val="0"/>
          <w:i w:val="0"/>
          <w:color w:val="000000"/>
          <w:sz w:val="32"/>
        </w:rPr>
        <w:t>（一）技术规范</w:t>
      </w:r>
      <w:r>
        <w:br w:type="textWrapping"/>
      </w:r>
      <w:r>
        <w:tab/>
      </w:r>
      <w:r>
        <w:rPr>
          <w:rFonts w:ascii="仿宋" w:hAnsi="仿宋" w:eastAsia="仿宋"/>
          <w:b w:val="0"/>
          <w:i w:val="0"/>
          <w:color w:val="000000"/>
          <w:sz w:val="32"/>
        </w:rPr>
        <w:t>1.《中华人民共和国旅游法》</w:t>
      </w:r>
      <w:r>
        <w:br w:type="textWrapping"/>
      </w:r>
      <w:r>
        <w:tab/>
      </w:r>
      <w:r>
        <w:rPr>
          <w:rFonts w:ascii="仿宋" w:hAnsi="仿宋" w:eastAsia="仿宋"/>
          <w:b w:val="0"/>
          <w:i w:val="0"/>
          <w:color w:val="000000"/>
          <w:sz w:val="32"/>
        </w:rPr>
        <w:t>2.《中华人民共和国教育法》</w:t>
      </w:r>
      <w:r>
        <w:br w:type="textWrapping"/>
      </w:r>
      <w:r>
        <w:tab/>
      </w:r>
      <w:r>
        <w:rPr>
          <w:rFonts w:ascii="仿宋" w:hAnsi="仿宋" w:eastAsia="仿宋"/>
          <w:b w:val="0"/>
          <w:i w:val="0"/>
          <w:color w:val="000000"/>
          <w:sz w:val="32"/>
        </w:rPr>
        <w:t>3.《中华人民共和国义务教育法》</w:t>
      </w:r>
      <w:r>
        <w:br w:type="textWrapping"/>
      </w:r>
      <w:r>
        <w:tab/>
      </w:r>
      <w:r>
        <w:rPr>
          <w:rFonts w:ascii="仿宋" w:hAnsi="仿宋" w:eastAsia="仿宋"/>
          <w:b w:val="0"/>
          <w:i w:val="0"/>
          <w:color w:val="000000"/>
          <w:sz w:val="32"/>
        </w:rPr>
        <w:t>4.《中华人民共和国未成年人保护法》</w:t>
      </w:r>
      <w:r>
        <w:br w:type="textWrapping"/>
      </w:r>
      <w:r>
        <w:tab/>
      </w:r>
      <w:r>
        <w:rPr>
          <w:rFonts w:ascii="仿宋" w:hAnsi="仿宋" w:eastAsia="仿宋"/>
          <w:b w:val="0"/>
          <w:i w:val="0"/>
          <w:color w:val="000000"/>
          <w:sz w:val="32"/>
        </w:rPr>
        <w:t>5.《导游人员管理条例》</w:t>
      </w:r>
      <w:r>
        <w:br w:type="textWrapping"/>
      </w:r>
      <w:r>
        <w:tab/>
      </w:r>
      <w:r>
        <w:rPr>
          <w:rFonts w:ascii="仿宋" w:hAnsi="仿宋" w:eastAsia="仿宋"/>
          <w:b w:val="0"/>
          <w:i w:val="0"/>
          <w:color w:val="000000"/>
          <w:sz w:val="32"/>
        </w:rPr>
        <w:t>6.《旅游安全管理办法》</w:t>
      </w:r>
      <w:r>
        <w:br w:type="textWrapping"/>
      </w:r>
      <w:r>
        <w:tab/>
      </w:r>
      <w:r>
        <w:rPr>
          <w:rFonts w:ascii="仿宋" w:hAnsi="仿宋" w:eastAsia="仿宋"/>
          <w:b w:val="0"/>
          <w:i w:val="0"/>
          <w:color w:val="000000"/>
          <w:sz w:val="32"/>
        </w:rPr>
        <w:t>7.《研学旅游指导师》国家职业标准（征求意见稿）</w:t>
      </w:r>
      <w:r>
        <w:br w:type="textWrapping"/>
      </w:r>
      <w:r>
        <w:tab/>
      </w:r>
      <w:r>
        <w:rPr>
          <w:rFonts w:ascii="仿宋" w:hAnsi="仿宋" w:eastAsia="仿宋"/>
          <w:b w:val="0"/>
          <w:i w:val="0"/>
          <w:color w:val="000000"/>
          <w:sz w:val="32"/>
        </w:rPr>
        <w:t>（二）技术平台</w:t>
      </w:r>
      <w:r>
        <w:br w:type="textWrapping"/>
      </w:r>
      <w:r>
        <w:tab/>
      </w:r>
      <w:r>
        <w:rPr>
          <w:rFonts w:ascii="仿宋" w:hAnsi="仿宋" w:eastAsia="仿宋"/>
          <w:b w:val="0"/>
          <w:i w:val="0"/>
          <w:color w:val="000000"/>
          <w:sz w:val="32"/>
        </w:rPr>
        <w:t>本赛项合作企业为江苏开新学数字科技有限公司、安徽云驴通信息技术有限公司，需要使用如下设备：</w:t>
      </w:r>
      <w:r>
        <w:br w:type="textWrapping"/>
      </w:r>
      <w:r>
        <w:tab/>
      </w:r>
      <w:r>
        <w:rPr>
          <w:rFonts w:ascii="仿宋" w:hAnsi="仿宋" w:eastAsia="仿宋"/>
          <w:b w:val="0"/>
          <w:i w:val="0"/>
          <w:color w:val="000000"/>
          <w:sz w:val="32"/>
        </w:rPr>
        <w:t>1.报名系统、初赛（远程）和决赛（现场）考试系统、研学课程设计软件。</w:t>
      </w:r>
    </w:p>
    <w:p w14:paraId="153FE032">
      <w:pPr>
        <w:widowControl/>
        <w:autoSpaceDE w:val="0"/>
        <w:autoSpaceDN w:val="0"/>
        <w:spacing w:before="240" w:after="0" w:line="318" w:lineRule="exact"/>
        <w:ind w:left="780" w:right="0" w:firstLine="0"/>
        <w:jc w:val="left"/>
      </w:pPr>
      <w:r>
        <w:rPr>
          <w:rFonts w:ascii="仿宋" w:hAnsi="仿宋" w:eastAsia="仿宋"/>
          <w:b w:val="0"/>
          <w:i w:val="0"/>
          <w:color w:val="000000"/>
          <w:sz w:val="32"/>
        </w:rPr>
        <w:t>2.计算机上答题及成绩自动统计系统。</w:t>
      </w:r>
    </w:p>
    <w:p w14:paraId="5D1DD1CC">
      <w:pPr>
        <w:widowControl/>
        <w:autoSpaceDE w:val="0"/>
        <w:autoSpaceDN w:val="0"/>
        <w:spacing w:before="244" w:after="0" w:line="318" w:lineRule="exact"/>
        <w:ind w:left="780" w:right="0" w:firstLine="0"/>
        <w:jc w:val="left"/>
      </w:pPr>
      <w:r>
        <w:rPr>
          <w:rFonts w:ascii="仿宋" w:hAnsi="仿宋" w:eastAsia="仿宋"/>
          <w:b w:val="0"/>
          <w:i w:val="0"/>
          <w:color w:val="000000"/>
          <w:sz w:val="32"/>
        </w:rPr>
        <w:t>3.裁判现场评分设备及成绩统计软件。</w:t>
      </w:r>
    </w:p>
    <w:p w14:paraId="7E6968AA">
      <w:pPr>
        <w:widowControl/>
        <w:autoSpaceDE w:val="0"/>
        <w:autoSpaceDN w:val="0"/>
        <w:spacing w:before="240" w:after="0" w:line="320" w:lineRule="exact"/>
        <w:ind w:left="756" w:right="0" w:firstLine="0"/>
        <w:jc w:val="left"/>
      </w:pPr>
      <w:r>
        <w:rPr>
          <w:rFonts w:ascii="仿宋" w:hAnsi="仿宋" w:eastAsia="仿宋"/>
          <w:b w:val="0"/>
          <w:i w:val="0"/>
          <w:color w:val="000000"/>
          <w:sz w:val="32"/>
        </w:rPr>
        <w:t>4.比赛现场同时记录总时长和单项比赛时长的自动计时设备。</w:t>
      </w:r>
    </w:p>
    <w:p w14:paraId="68C0E580">
      <w:pPr>
        <w:widowControl/>
        <w:tabs>
          <w:tab w:val="left" w:pos="780"/>
        </w:tabs>
        <w:autoSpaceDE w:val="0"/>
        <w:autoSpaceDN w:val="0"/>
        <w:spacing w:before="0" w:after="0" w:line="560" w:lineRule="exact"/>
        <w:ind w:left="146" w:right="0" w:firstLine="0"/>
        <w:jc w:val="left"/>
        <w:sectPr>
          <w:pgSz w:w="11906" w:h="16838"/>
          <w:pgMar w:top="1138" w:right="1440" w:bottom="498" w:left="1440" w:header="720" w:footer="720" w:gutter="0"/>
          <w:cols w:space="720" w:num="1"/>
          <w:docGrid w:linePitch="360" w:charSpace="0"/>
        </w:sectPr>
      </w:pPr>
      <w:r>
        <w:tab/>
      </w:r>
      <w:r>
        <w:rPr>
          <w:rFonts w:ascii="黑体" w:hAnsi="黑体" w:eastAsia="黑体"/>
          <w:b w:val="0"/>
          <w:i w:val="0"/>
          <w:color w:val="000000"/>
          <w:sz w:val="32"/>
        </w:rPr>
        <w:t>十二、赛场预案</w:t>
      </w:r>
      <w:r>
        <w:br w:type="textWrapping"/>
      </w:r>
      <w:r>
        <w:tab/>
      </w:r>
      <w:r>
        <w:rPr>
          <w:rFonts w:ascii="仿宋" w:hAnsi="仿宋" w:eastAsia="仿宋"/>
          <w:b w:val="0"/>
          <w:i w:val="0"/>
          <w:color w:val="000000"/>
          <w:sz w:val="32"/>
        </w:rPr>
        <w:t>（一）制定安全应急预案，建立应急处置机制</w:t>
      </w:r>
      <w:r>
        <w:br w:type="textWrapping"/>
      </w:r>
      <w:r>
        <w:tab/>
      </w:r>
      <w:r>
        <w:rPr>
          <w:rFonts w:ascii="仿宋" w:hAnsi="仿宋" w:eastAsia="仿宋"/>
          <w:b w:val="0"/>
          <w:i w:val="0"/>
          <w:color w:val="000000"/>
          <w:sz w:val="32"/>
        </w:rPr>
        <w:t>1.活动过程中接到突发安全事故后，有关人员必须及时向后勤安保组组长、副组长报告，并及时向公安、交警、卫生、消防等相关部门报案请求援助。本着“先控制、后处置，救人第一，</w:t>
      </w:r>
    </w:p>
    <w:p w14:paraId="51BB35DF">
      <w:pPr>
        <w:widowControl/>
        <w:autoSpaceDE w:val="0"/>
        <w:autoSpaceDN w:val="0"/>
        <w:spacing w:before="0" w:after="916" w:line="220" w:lineRule="exact"/>
        <w:ind w:left="0" w:right="0"/>
      </w:pPr>
    </w:p>
    <w:p w14:paraId="6AD20542">
      <w:pPr>
        <w:widowControl/>
        <w:autoSpaceDE w:val="0"/>
        <w:autoSpaceDN w:val="0"/>
        <w:spacing w:before="0" w:after="0" w:line="478" w:lineRule="exact"/>
        <w:ind w:left="146" w:right="180" w:firstLine="0"/>
        <w:jc w:val="both"/>
      </w:pPr>
      <w:r>
        <w:rPr>
          <w:rFonts w:ascii="仿宋" w:hAnsi="仿宋" w:eastAsia="仿宋"/>
          <w:b w:val="0"/>
          <w:i w:val="0"/>
          <w:color w:val="000000"/>
          <w:sz w:val="32"/>
        </w:rPr>
        <w:t>减少损失”的原则，后勤安保组应果断处理，积极抢救，指导现场参赛师生离开危险区域，保卫好大赛区域内的贵重物品，维护现场秩序，做好事故现场保护工作，做好善后处理工作。</w:t>
      </w:r>
    </w:p>
    <w:p w14:paraId="08BC1083">
      <w:pPr>
        <w:widowControl/>
        <w:autoSpaceDE w:val="0"/>
        <w:autoSpaceDN w:val="0"/>
        <w:spacing w:before="2" w:after="0" w:line="560" w:lineRule="exact"/>
        <w:ind w:left="146" w:right="180" w:firstLine="634"/>
        <w:jc w:val="both"/>
      </w:pPr>
      <w:r>
        <w:rPr>
          <w:rFonts w:ascii="仿宋" w:hAnsi="仿宋" w:eastAsia="仿宋"/>
          <w:b w:val="0"/>
          <w:i w:val="0"/>
          <w:color w:val="000000"/>
          <w:sz w:val="32"/>
        </w:rPr>
        <w:t>2.后勤安保组接到大赛突发安全事故报告后，应在最短时间内到达事故现场，组织抢救和善后处置工作，并根据事故情况及时向上级部门汇报。</w:t>
      </w:r>
    </w:p>
    <w:p w14:paraId="0ECE430F">
      <w:pPr>
        <w:widowControl/>
        <w:autoSpaceDE w:val="0"/>
        <w:autoSpaceDN w:val="0"/>
        <w:spacing w:before="4" w:after="0" w:line="558" w:lineRule="exact"/>
        <w:ind w:left="146" w:right="180" w:firstLine="634"/>
        <w:jc w:val="both"/>
      </w:pPr>
      <w:r>
        <w:rPr>
          <w:rFonts w:ascii="仿宋" w:hAnsi="仿宋" w:eastAsia="仿宋"/>
          <w:b w:val="0"/>
          <w:i w:val="0"/>
          <w:color w:val="000000"/>
          <w:sz w:val="32"/>
        </w:rPr>
        <w:t>3.如发生食物中毒时，后勤安保组要做好人员救治，立即封存相关食物，同时，联系食品药品监督部门和 120 急救中心进行应急处置。</w:t>
      </w:r>
    </w:p>
    <w:p w14:paraId="40E3775F">
      <w:pPr>
        <w:widowControl/>
        <w:autoSpaceDE w:val="0"/>
        <w:autoSpaceDN w:val="0"/>
        <w:spacing w:before="4" w:after="0" w:line="558" w:lineRule="exact"/>
        <w:ind w:left="146" w:right="180" w:firstLine="634"/>
        <w:jc w:val="both"/>
      </w:pPr>
      <w:r>
        <w:rPr>
          <w:rFonts w:ascii="仿宋" w:hAnsi="仿宋" w:eastAsia="仿宋"/>
          <w:b w:val="0"/>
          <w:i w:val="0"/>
          <w:color w:val="000000"/>
          <w:sz w:val="32"/>
        </w:rPr>
        <w:t>4.比赛期间供水供电设施发生故障时，由后勤安保组协调相关部门开展设施维护，保障比赛水电设施正常运行。供电发生停电时，立即启用应急电源恢复供电。</w:t>
      </w:r>
    </w:p>
    <w:p w14:paraId="62812823">
      <w:pPr>
        <w:widowControl/>
        <w:autoSpaceDE w:val="0"/>
        <w:autoSpaceDN w:val="0"/>
        <w:spacing w:before="4" w:after="0" w:line="558" w:lineRule="exact"/>
        <w:ind w:left="146" w:right="0" w:firstLine="634"/>
        <w:jc w:val="left"/>
      </w:pPr>
      <w:r>
        <w:rPr>
          <w:rFonts w:ascii="仿宋" w:hAnsi="仿宋" w:eastAsia="仿宋"/>
          <w:b w:val="0"/>
          <w:i w:val="0"/>
          <w:color w:val="000000"/>
          <w:sz w:val="32"/>
        </w:rPr>
        <w:t>5.安排专门人员负责现场人身、财产事故处理，当领导专家、参赛师生到赛场后如发生迷路、被盗、被抢、被骗人身受到伤害等情况时，能第一时间负责现场组织指挥。</w:t>
      </w:r>
    </w:p>
    <w:p w14:paraId="4E447F77">
      <w:pPr>
        <w:widowControl/>
        <w:tabs>
          <w:tab w:val="left" w:pos="780"/>
        </w:tabs>
        <w:autoSpaceDE w:val="0"/>
        <w:autoSpaceDN w:val="0"/>
        <w:spacing w:before="2" w:after="0" w:line="560" w:lineRule="exact"/>
        <w:ind w:left="146" w:right="144" w:firstLine="0"/>
        <w:jc w:val="left"/>
      </w:pPr>
      <w:r>
        <w:tab/>
      </w:r>
      <w:r>
        <w:rPr>
          <w:rFonts w:ascii="仿宋" w:hAnsi="仿宋" w:eastAsia="仿宋"/>
          <w:b w:val="0"/>
          <w:i w:val="0"/>
          <w:color w:val="000000"/>
          <w:sz w:val="32"/>
        </w:rPr>
        <w:t>（二）现场突发情况预案</w:t>
      </w:r>
      <w:r>
        <w:br w:type="textWrapping"/>
      </w:r>
      <w:r>
        <w:tab/>
      </w:r>
      <w:r>
        <w:rPr>
          <w:rFonts w:ascii="仿宋" w:hAnsi="仿宋" w:eastAsia="仿宋"/>
          <w:b w:val="0"/>
          <w:i w:val="0"/>
          <w:color w:val="000000"/>
          <w:sz w:val="32"/>
        </w:rPr>
        <w:t>决赛比赛将配备足够的优质仲裁员、监督员、裁判长及裁判员，所有人员分工明确，各司其职，独立工作，互相监督，确保本次成绩评判的正确性。若遇裁判和核心工作人员异动，可立即启用预备人选。确保竞赛执裁工作顺利进行。</w:t>
      </w:r>
    </w:p>
    <w:p w14:paraId="587D55FC">
      <w:pPr>
        <w:widowControl/>
        <w:autoSpaceDE w:val="0"/>
        <w:autoSpaceDN w:val="0"/>
        <w:spacing w:before="0" w:after="0" w:line="560" w:lineRule="exact"/>
        <w:ind w:left="146" w:right="144" w:firstLine="634"/>
        <w:jc w:val="left"/>
      </w:pPr>
      <w:r>
        <w:rPr>
          <w:rFonts w:ascii="仿宋" w:hAnsi="仿宋" w:eastAsia="仿宋"/>
          <w:b w:val="0"/>
          <w:i w:val="0"/>
          <w:color w:val="000000"/>
          <w:sz w:val="32"/>
        </w:rPr>
        <w:t>如遇计算机卡顿、音响设备故障、停电或其他可能直接影响选手比赛成绩的异常情况，则由裁判长、赛点负责人和大赛监督</w:t>
      </w:r>
      <w:r>
        <w:drawing>
          <wp:anchor distT="0" distB="0" distL="0" distR="0" simplePos="0" relativeHeight="251659264" behindDoc="1" locked="0" layoutInCell="1" allowOverlap="1">
            <wp:simplePos x="0" y="0"/>
            <wp:positionH relativeFrom="page">
              <wp:posOffset>3657600</wp:posOffset>
            </wp:positionH>
            <wp:positionV relativeFrom="page">
              <wp:posOffset>7810500</wp:posOffset>
            </wp:positionV>
            <wp:extent cx="2296160" cy="21069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2296160" cy="2106786"/>
                    </a:xfrm>
                    <a:prstGeom prst="rect">
                      <a:avLst/>
                    </a:prstGeom>
                  </pic:spPr>
                </pic:pic>
              </a:graphicData>
            </a:graphic>
          </wp:anchor>
        </w:drawing>
      </w:r>
      <w:r>
        <w:rPr>
          <w:rFonts w:ascii="仿宋" w:hAnsi="仿宋" w:eastAsia="仿宋"/>
          <w:b w:val="0"/>
          <w:i w:val="0"/>
          <w:color w:val="000000"/>
          <w:sz w:val="32"/>
        </w:rPr>
        <w:t>员共同视具体情况裁定。</w:t>
      </w:r>
    </w:p>
    <w:p w14:paraId="382A642A">
      <w:pPr>
        <w:widowControl/>
        <w:tabs>
          <w:tab w:val="left" w:pos="780"/>
        </w:tabs>
        <w:autoSpaceDE w:val="0"/>
        <w:autoSpaceDN w:val="0"/>
        <w:spacing w:before="0" w:after="0" w:line="560" w:lineRule="exact"/>
        <w:ind w:left="146" w:right="0" w:firstLine="0"/>
        <w:jc w:val="left"/>
      </w:pPr>
      <w:r>
        <w:tab/>
      </w:r>
      <w:r>
        <w:rPr>
          <w:rFonts w:ascii="黑体" w:hAnsi="黑体" w:eastAsia="黑体"/>
          <w:b w:val="0"/>
          <w:i w:val="0"/>
          <w:color w:val="000000"/>
          <w:sz w:val="32"/>
        </w:rPr>
        <w:t>十三、申诉与仲裁</w:t>
      </w:r>
      <w:r>
        <w:br w:type="textWrapping"/>
      </w:r>
      <w:r>
        <w:tab/>
      </w:r>
      <w:r>
        <w:rPr>
          <w:rFonts w:ascii="仿宋" w:hAnsi="仿宋" w:eastAsia="仿宋"/>
          <w:b w:val="0"/>
          <w:i w:val="0"/>
          <w:color w:val="000000"/>
          <w:sz w:val="32"/>
        </w:rPr>
        <w:t>决赛阶段采取二级仲裁机制，设赛项仲裁工作组，大赛执委会设仲裁委员会。各参赛队对不符合大赛和赛项规程规定的仪器、设备、工装、材料、物件、计算机软硬件、竞赛使用工具、用品，竞赛执裁、赛场管理，以及工作人员的不规范行为等，可向赛项仲裁工作组提出申诉。申诉主体为参赛队领队。申诉启动时，领队向赛项仲裁工作组递交亲笔签字同意的书面申诉报告。申诉报告应对申诉事件的现象、发生时间、涉及人员、申诉依据等进行充分、实事求是地叙述。非书面申诉不予受理。</w:t>
      </w:r>
    </w:p>
    <w:p w14:paraId="1F1086ED">
      <w:pPr>
        <w:widowControl/>
        <w:autoSpaceDE w:val="0"/>
        <w:autoSpaceDN w:val="0"/>
        <w:spacing w:before="0" w:after="0" w:line="560" w:lineRule="exact"/>
        <w:ind w:left="146" w:right="176" w:firstLine="634"/>
        <w:jc w:val="both"/>
      </w:pPr>
      <w:r>
        <w:rPr>
          <w:rFonts w:ascii="仿宋" w:hAnsi="仿宋" w:eastAsia="仿宋"/>
          <w:b w:val="0"/>
          <w:i w:val="0"/>
          <w:color w:val="000000"/>
          <w:sz w:val="32"/>
        </w:rPr>
        <w:t>提出申诉的时间应在竞赛结束后（选手赛场竞赛内容全部完成）2 小时内，超过时效不予受理。赛项仲裁工作组在接到申诉报告后的 2 小时内组织复议，并及时将复议结果以书面形式告知申诉方。申诉方对复议结果仍有异议，可由市（高职院校）领队向仲裁委员会提出申诉。仲裁委员会的仲裁结果为最终结果。</w:t>
      </w:r>
    </w:p>
    <w:p w14:paraId="5ADDDCF5">
      <w:pPr>
        <w:widowControl/>
        <w:autoSpaceDE w:val="0"/>
        <w:autoSpaceDN w:val="0"/>
        <w:spacing w:before="838" w:after="0" w:line="320" w:lineRule="exact"/>
        <w:ind w:left="780" w:right="0" w:firstLine="0"/>
        <w:jc w:val="left"/>
      </w:pPr>
      <w:r>
        <w:rPr>
          <w:rFonts w:ascii="仿宋" w:hAnsi="仿宋" w:eastAsia="仿宋"/>
          <w:b w:val="0"/>
          <w:i w:val="0"/>
          <w:color w:val="000000"/>
          <w:sz w:val="32"/>
        </w:rPr>
        <w:t>附件：1.单位推荐选手报名登记表</w:t>
      </w:r>
    </w:p>
    <w:p w14:paraId="352ED935">
      <w:pPr>
        <w:widowControl/>
        <w:autoSpaceDE w:val="0"/>
        <w:autoSpaceDN w:val="0"/>
        <w:spacing w:before="2" w:after="0" w:line="578" w:lineRule="exact"/>
        <w:ind w:left="1726" w:right="4176" w:firstLine="0"/>
        <w:jc w:val="left"/>
      </w:pPr>
      <w:r>
        <w:rPr>
          <w:rFonts w:ascii="仿宋" w:hAnsi="仿宋" w:eastAsia="仿宋"/>
          <w:b w:val="0"/>
          <w:i w:val="0"/>
          <w:color w:val="000000"/>
          <w:sz w:val="32"/>
        </w:rPr>
        <w:t>2.单位推荐选手汇总表</w:t>
      </w:r>
      <w:r>
        <w:br w:type="textWrapping"/>
      </w:r>
      <w:r>
        <w:rPr>
          <w:rFonts w:ascii="仿宋" w:hAnsi="仿宋" w:eastAsia="仿宋"/>
          <w:b w:val="0"/>
          <w:i w:val="0"/>
          <w:color w:val="000000"/>
          <w:sz w:val="32"/>
        </w:rPr>
        <w:t>3.比赛样题</w:t>
      </w:r>
    </w:p>
    <w:p w14:paraId="7EAA7F12">
      <w:pPr>
        <w:widowControl/>
        <w:autoSpaceDE w:val="0"/>
        <w:autoSpaceDN w:val="0"/>
        <w:spacing w:before="880" w:after="0" w:line="318" w:lineRule="exact"/>
        <w:ind w:left="0" w:right="1442" w:firstLine="0"/>
        <w:jc w:val="right"/>
      </w:pPr>
      <w:r>
        <w:rPr>
          <w:rFonts w:ascii="仿宋" w:hAnsi="仿宋" w:eastAsia="仿宋"/>
          <w:b w:val="0"/>
          <w:i w:val="0"/>
          <w:color w:val="000000"/>
          <w:sz w:val="32"/>
        </w:rPr>
        <w:t>山东省精品旅游促进会</w:t>
      </w:r>
    </w:p>
    <w:p w14:paraId="6BFA0E30">
      <w:pPr>
        <w:widowControl/>
        <w:autoSpaceDE w:val="0"/>
        <w:autoSpaceDN w:val="0"/>
        <w:spacing w:before="282" w:after="0" w:line="318" w:lineRule="exact"/>
        <w:ind w:left="0" w:right="1838" w:firstLine="0"/>
        <w:jc w:val="right"/>
      </w:pPr>
      <w:r>
        <w:rPr>
          <w:rFonts w:ascii="仿宋" w:hAnsi="仿宋" w:eastAsia="仿宋"/>
          <w:b w:val="0"/>
          <w:i w:val="0"/>
          <w:color w:val="000000"/>
          <w:sz w:val="32"/>
        </w:rPr>
        <w:t>2024 年 8 月 30 日</w:t>
      </w:r>
      <w:r>
        <w:rPr>
          <w:rFonts w:ascii="TimesNewRomanPSMT" w:hAnsi="TimesNewRomanPSMT" w:eastAsia="TimesNewRomanPSMT"/>
          <w:b w:val="0"/>
          <w:i w:val="0"/>
          <w:color w:val="000000"/>
          <w:sz w:val="18"/>
        </w:rPr>
        <w:t>15</w:t>
      </w:r>
    </w:p>
    <w:p w14:paraId="4FC80CEF">
      <w:pPr>
        <w:sectPr>
          <w:pgSz w:w="11906" w:h="16838"/>
          <w:pgMar w:top="1138" w:right="1292" w:bottom="498" w:left="1440" w:header="720" w:footer="720" w:gutter="0"/>
          <w:cols w:space="720" w:num="1"/>
          <w:docGrid w:linePitch="360" w:charSpace="0"/>
        </w:sectPr>
      </w:pPr>
    </w:p>
    <w:p w14:paraId="19AFC70F">
      <w:pPr>
        <w:widowControl/>
        <w:autoSpaceDE w:val="0"/>
        <w:autoSpaceDN w:val="0"/>
        <w:spacing w:before="0" w:after="894" w:line="220" w:lineRule="exact"/>
        <w:ind w:left="0" w:right="0"/>
      </w:pPr>
    </w:p>
    <w:p w14:paraId="56127B2A">
      <w:pPr>
        <w:widowControl/>
        <w:autoSpaceDE w:val="0"/>
        <w:autoSpaceDN w:val="0"/>
        <w:spacing w:before="0" w:after="0" w:line="318" w:lineRule="exact"/>
        <w:ind w:left="656" w:right="0" w:firstLine="0"/>
        <w:jc w:val="left"/>
      </w:pPr>
      <w:r>
        <w:rPr>
          <w:rFonts w:ascii="仿宋" w:hAnsi="仿宋" w:eastAsia="仿宋"/>
          <w:b w:val="0"/>
          <w:i w:val="0"/>
          <w:color w:val="000000"/>
          <w:sz w:val="32"/>
        </w:rPr>
        <w:t>附件 1：</w:t>
      </w:r>
    </w:p>
    <w:p w14:paraId="51764752">
      <w:pPr>
        <w:widowControl/>
        <w:autoSpaceDE w:val="0"/>
        <w:autoSpaceDN w:val="0"/>
        <w:spacing w:before="116" w:after="616" w:line="600" w:lineRule="exact"/>
        <w:ind w:left="1728" w:right="1728" w:firstLine="0"/>
        <w:jc w:val="center"/>
      </w:pPr>
      <w:r>
        <w:rPr>
          <w:rFonts w:ascii="FZXBSJW" w:hAnsi="FZXBSJW" w:eastAsia="FZXBSJW"/>
          <w:b w:val="0"/>
          <w:i w:val="0"/>
          <w:color w:val="000000"/>
          <w:sz w:val="36"/>
        </w:rPr>
        <w:t>山东省“技能兴鲁”职业技能大赛</w:t>
      </w:r>
      <w:r>
        <w:br w:type="textWrapping"/>
      </w:r>
      <w:r>
        <w:rPr>
          <w:rFonts w:ascii="FZXBSJW" w:hAnsi="FZXBSJW" w:eastAsia="FZXBSJW"/>
          <w:b w:val="0"/>
          <w:i w:val="0"/>
          <w:color w:val="000000"/>
          <w:sz w:val="36"/>
        </w:rPr>
        <w:t>2024 年全省研学旅行指导师职业技能竞赛单位推荐选手报名登记表</w:t>
      </w:r>
    </w:p>
    <w:tbl>
      <w:tblPr>
        <w:tblStyle w:val="32"/>
        <w:tblW w:w="0" w:type="auto"/>
        <w:tblInd w:w="10" w:type="dxa"/>
        <w:tblLayout w:type="fixed"/>
        <w:tblCellMar>
          <w:top w:w="0" w:type="dxa"/>
          <w:left w:w="108" w:type="dxa"/>
          <w:bottom w:w="0" w:type="dxa"/>
          <w:right w:w="108" w:type="dxa"/>
        </w:tblCellMar>
      </w:tblPr>
      <w:tblGrid>
        <w:gridCol w:w="1454"/>
        <w:gridCol w:w="1454"/>
        <w:gridCol w:w="1454"/>
        <w:gridCol w:w="1454"/>
        <w:gridCol w:w="1454"/>
        <w:gridCol w:w="1454"/>
        <w:gridCol w:w="1454"/>
      </w:tblGrid>
      <w:tr w14:paraId="349FC079">
        <w:tblPrEx>
          <w:tblCellMar>
            <w:top w:w="0" w:type="dxa"/>
            <w:left w:w="108" w:type="dxa"/>
            <w:bottom w:w="0" w:type="dxa"/>
            <w:right w:w="108" w:type="dxa"/>
          </w:tblCellMar>
        </w:tblPrEx>
        <w:trPr>
          <w:trHeight w:val="586" w:hRule="exact"/>
        </w:trPr>
        <w:tc>
          <w:tcPr>
            <w:tcW w:w="2054" w:type="dxa"/>
            <w:tcBorders>
              <w:top w:val="single" w:color="000000" w:sz="2" w:space="0"/>
              <w:left w:val="single" w:color="000000" w:sz="2" w:space="0"/>
              <w:bottom w:val="single" w:color="000000" w:sz="2" w:space="0"/>
              <w:right w:val="single" w:color="000000" w:sz="2" w:space="0"/>
            </w:tcBorders>
            <w:tcMar>
              <w:left w:w="0" w:type="dxa"/>
              <w:right w:w="0" w:type="dxa"/>
            </w:tcMar>
          </w:tcPr>
          <w:p w14:paraId="2420E0DB">
            <w:pPr>
              <w:widowControl/>
              <w:tabs>
                <w:tab w:val="left" w:pos="1256"/>
              </w:tabs>
              <w:autoSpaceDE w:val="0"/>
              <w:autoSpaceDN w:val="0"/>
              <w:spacing w:before="172" w:after="0" w:line="240" w:lineRule="exact"/>
              <w:ind w:left="548" w:right="0" w:firstLine="0"/>
              <w:jc w:val="left"/>
            </w:pPr>
            <w:r>
              <w:rPr>
                <w:rFonts w:ascii="宋体" w:hAnsi="宋体" w:eastAsia="宋体"/>
                <w:b w:val="0"/>
                <w:i w:val="0"/>
                <w:color w:val="000000"/>
                <w:sz w:val="24"/>
              </w:rPr>
              <w:t>姓</w:t>
            </w:r>
            <w:r>
              <w:tab/>
            </w:r>
            <w:r>
              <w:rPr>
                <w:rFonts w:ascii="宋体" w:hAnsi="宋体" w:eastAsia="宋体"/>
                <w:b w:val="0"/>
                <w:i w:val="0"/>
                <w:color w:val="000000"/>
                <w:sz w:val="24"/>
              </w:rPr>
              <w:t>名</w:t>
            </w:r>
          </w:p>
        </w:tc>
        <w:tc>
          <w:tcPr>
            <w:tcW w:w="1376" w:type="dxa"/>
            <w:tcBorders>
              <w:top w:val="single" w:color="000000" w:sz="2" w:space="0"/>
              <w:left w:val="single" w:color="000000" w:sz="2" w:space="0"/>
              <w:bottom w:val="single" w:color="000000" w:sz="2" w:space="0"/>
              <w:right w:val="single" w:color="000000" w:sz="2" w:space="0"/>
            </w:tcBorders>
            <w:tcMar>
              <w:left w:w="0" w:type="dxa"/>
              <w:right w:w="0" w:type="dxa"/>
            </w:tcMar>
          </w:tcPr>
          <w:p w14:paraId="333EF6F5"/>
        </w:tc>
        <w:tc>
          <w:tcPr>
            <w:tcW w:w="826" w:type="dxa"/>
            <w:tcBorders>
              <w:top w:val="single" w:color="000000" w:sz="2" w:space="0"/>
              <w:left w:val="single" w:color="000000" w:sz="2" w:space="0"/>
              <w:bottom w:val="single" w:color="000000" w:sz="2" w:space="0"/>
              <w:right w:val="single" w:color="000000" w:sz="2" w:space="0"/>
            </w:tcBorders>
            <w:tcMar>
              <w:left w:w="0" w:type="dxa"/>
              <w:right w:w="0" w:type="dxa"/>
            </w:tcMar>
          </w:tcPr>
          <w:p w14:paraId="0F476845">
            <w:pPr>
              <w:widowControl/>
              <w:autoSpaceDE w:val="0"/>
              <w:autoSpaceDN w:val="0"/>
              <w:spacing w:before="172" w:after="0" w:line="240" w:lineRule="exact"/>
              <w:ind w:left="0" w:right="0" w:firstLine="0"/>
              <w:jc w:val="center"/>
            </w:pPr>
            <w:r>
              <w:rPr>
                <w:rFonts w:ascii="宋体" w:hAnsi="宋体" w:eastAsia="宋体"/>
                <w:b w:val="0"/>
                <w:i w:val="0"/>
                <w:color w:val="000000"/>
                <w:sz w:val="24"/>
              </w:rPr>
              <w:t>性别</w:t>
            </w:r>
          </w:p>
        </w:tc>
        <w:tc>
          <w:tcPr>
            <w:tcW w:w="1208" w:type="dxa"/>
            <w:tcBorders>
              <w:top w:val="single" w:color="000000" w:sz="2" w:space="0"/>
              <w:left w:val="single" w:color="000000" w:sz="2" w:space="0"/>
              <w:bottom w:val="single" w:color="000000" w:sz="2" w:space="0"/>
              <w:right w:val="single" w:color="000000" w:sz="2" w:space="0"/>
            </w:tcBorders>
            <w:tcMar>
              <w:left w:w="0" w:type="dxa"/>
              <w:right w:w="0" w:type="dxa"/>
            </w:tcMar>
          </w:tcPr>
          <w:p w14:paraId="594C446F"/>
        </w:tc>
        <w:tc>
          <w:tcPr>
            <w:tcW w:w="1260" w:type="dxa"/>
            <w:tcBorders>
              <w:top w:val="single" w:color="000000" w:sz="2" w:space="0"/>
              <w:left w:val="single" w:color="000000" w:sz="2" w:space="0"/>
              <w:bottom w:val="single" w:color="000000" w:sz="2" w:space="0"/>
              <w:right w:val="single" w:color="000000" w:sz="2" w:space="0"/>
            </w:tcBorders>
            <w:tcMar>
              <w:left w:w="0" w:type="dxa"/>
              <w:right w:w="0" w:type="dxa"/>
            </w:tcMar>
          </w:tcPr>
          <w:p w14:paraId="4474AE07">
            <w:pPr>
              <w:widowControl/>
              <w:autoSpaceDE w:val="0"/>
              <w:autoSpaceDN w:val="0"/>
              <w:spacing w:before="172" w:after="0" w:line="240" w:lineRule="exact"/>
              <w:ind w:left="0" w:right="0" w:firstLine="0"/>
              <w:jc w:val="center"/>
            </w:pPr>
            <w:r>
              <w:rPr>
                <w:rFonts w:ascii="宋体" w:hAnsi="宋体" w:eastAsia="宋体"/>
                <w:b w:val="0"/>
                <w:i w:val="0"/>
                <w:color w:val="000000"/>
                <w:sz w:val="24"/>
              </w:rPr>
              <w:t>出生年月</w:t>
            </w:r>
          </w:p>
        </w:tc>
        <w:tc>
          <w:tcPr>
            <w:tcW w:w="1256" w:type="dxa"/>
            <w:tcBorders>
              <w:top w:val="single" w:color="000000" w:sz="2" w:space="0"/>
              <w:left w:val="single" w:color="000000" w:sz="2" w:space="0"/>
              <w:bottom w:val="single" w:color="000000" w:sz="2" w:space="0"/>
              <w:right w:val="single" w:color="000000" w:sz="2" w:space="0"/>
            </w:tcBorders>
            <w:tcMar>
              <w:left w:w="0" w:type="dxa"/>
              <w:right w:w="0" w:type="dxa"/>
            </w:tcMar>
          </w:tcPr>
          <w:p w14:paraId="24141077"/>
        </w:tc>
        <w:tc>
          <w:tcPr>
            <w:tcW w:w="2160" w:type="dxa"/>
            <w:vMerge w:val="restart"/>
            <w:tcBorders>
              <w:top w:val="single" w:color="000000" w:sz="2" w:space="0"/>
              <w:left w:val="single" w:color="000000" w:sz="2" w:space="0"/>
              <w:bottom w:val="single" w:color="000000" w:sz="2" w:space="0"/>
              <w:right w:val="single" w:color="000000" w:sz="2" w:space="0"/>
            </w:tcBorders>
            <w:tcMar>
              <w:left w:w="0" w:type="dxa"/>
              <w:right w:w="0" w:type="dxa"/>
            </w:tcMar>
          </w:tcPr>
          <w:p w14:paraId="37DA9A85">
            <w:pPr>
              <w:widowControl/>
              <w:autoSpaceDE w:val="0"/>
              <w:autoSpaceDN w:val="0"/>
              <w:spacing w:before="680" w:after="0" w:line="240" w:lineRule="exact"/>
              <w:ind w:left="0" w:right="0" w:firstLine="0"/>
              <w:jc w:val="center"/>
            </w:pPr>
            <w:r>
              <w:rPr>
                <w:rFonts w:ascii="宋体" w:hAnsi="宋体" w:eastAsia="宋体"/>
                <w:b w:val="0"/>
                <w:i w:val="0"/>
                <w:color w:val="000000"/>
                <w:sz w:val="24"/>
              </w:rPr>
              <w:t>（电子照片）</w:t>
            </w:r>
          </w:p>
        </w:tc>
      </w:tr>
      <w:tr w14:paraId="778CE75C">
        <w:tblPrEx>
          <w:tblCellMar>
            <w:top w:w="0" w:type="dxa"/>
            <w:left w:w="108" w:type="dxa"/>
            <w:bottom w:w="0" w:type="dxa"/>
            <w:right w:w="108" w:type="dxa"/>
          </w:tblCellMar>
        </w:tblPrEx>
        <w:trPr>
          <w:trHeight w:val="492" w:hRule="exact"/>
        </w:trPr>
        <w:tc>
          <w:tcPr>
            <w:tcW w:w="2054" w:type="dxa"/>
            <w:tcBorders>
              <w:top w:val="single" w:color="000000" w:sz="2" w:space="0"/>
              <w:left w:val="single" w:color="000000" w:sz="2" w:space="0"/>
              <w:bottom w:val="single" w:color="000000" w:sz="2" w:space="0"/>
              <w:right w:val="single" w:color="000000" w:sz="2" w:space="0"/>
            </w:tcBorders>
            <w:tcMar>
              <w:left w:w="0" w:type="dxa"/>
              <w:right w:w="0" w:type="dxa"/>
            </w:tcMar>
          </w:tcPr>
          <w:p w14:paraId="6FC229E6">
            <w:pPr>
              <w:widowControl/>
              <w:autoSpaceDE w:val="0"/>
              <w:autoSpaceDN w:val="0"/>
              <w:spacing w:before="170" w:after="0" w:line="240" w:lineRule="exact"/>
              <w:ind w:left="0" w:right="0" w:firstLine="0"/>
              <w:jc w:val="center"/>
            </w:pPr>
            <w:r>
              <w:rPr>
                <w:rFonts w:ascii="宋体" w:hAnsi="宋体" w:eastAsia="宋体"/>
                <w:b w:val="0"/>
                <w:i w:val="0"/>
                <w:color w:val="000000"/>
                <w:sz w:val="24"/>
              </w:rPr>
              <w:t>身份证号码</w:t>
            </w:r>
          </w:p>
        </w:tc>
        <w:tc>
          <w:tcPr>
            <w:tcW w:w="220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3958A40A"/>
        </w:tc>
        <w:tc>
          <w:tcPr>
            <w:tcW w:w="1208" w:type="dxa"/>
            <w:tcBorders>
              <w:top w:val="single" w:color="000000" w:sz="2" w:space="0"/>
              <w:left w:val="single" w:color="000000" w:sz="2" w:space="0"/>
              <w:bottom w:val="single" w:color="000000" w:sz="2" w:space="0"/>
              <w:right w:val="single" w:color="000000" w:sz="2" w:space="0"/>
            </w:tcBorders>
            <w:tcMar>
              <w:left w:w="0" w:type="dxa"/>
              <w:right w:w="0" w:type="dxa"/>
            </w:tcMar>
          </w:tcPr>
          <w:p w14:paraId="5DD05329">
            <w:pPr>
              <w:widowControl/>
              <w:autoSpaceDE w:val="0"/>
              <w:autoSpaceDN w:val="0"/>
              <w:spacing w:before="170" w:after="0" w:line="240" w:lineRule="exact"/>
              <w:ind w:left="0" w:right="0" w:firstLine="0"/>
              <w:jc w:val="center"/>
            </w:pPr>
            <w:r>
              <w:rPr>
                <w:rFonts w:ascii="宋体" w:hAnsi="宋体" w:eastAsia="宋体"/>
                <w:b w:val="0"/>
                <w:i w:val="0"/>
                <w:color w:val="000000"/>
                <w:sz w:val="24"/>
              </w:rPr>
              <w:t>联系电话</w:t>
            </w:r>
          </w:p>
        </w:tc>
        <w:tc>
          <w:tcPr>
            <w:tcW w:w="251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3ABDA525"/>
        </w:tc>
        <w:tc>
          <w:tcPr>
            <w:tcW w:w="1454" w:type="dxa"/>
            <w:vMerge w:val="continue"/>
            <w:tcBorders>
              <w:top w:val="single" w:color="000000" w:sz="2" w:space="0"/>
              <w:left w:val="single" w:color="000000" w:sz="2" w:space="0"/>
              <w:bottom w:val="single" w:color="000000" w:sz="2" w:space="0"/>
              <w:right w:val="single" w:color="000000" w:sz="2" w:space="0"/>
            </w:tcBorders>
          </w:tcPr>
          <w:p w14:paraId="3E79160E"/>
        </w:tc>
      </w:tr>
      <w:tr w14:paraId="6135D6B3">
        <w:tblPrEx>
          <w:tblCellMar>
            <w:top w:w="0" w:type="dxa"/>
            <w:left w:w="108" w:type="dxa"/>
            <w:bottom w:w="0" w:type="dxa"/>
            <w:right w:w="108" w:type="dxa"/>
          </w:tblCellMar>
        </w:tblPrEx>
        <w:trPr>
          <w:trHeight w:val="530" w:hRule="exact"/>
        </w:trPr>
        <w:tc>
          <w:tcPr>
            <w:tcW w:w="2054" w:type="dxa"/>
            <w:tcBorders>
              <w:top w:val="single" w:color="000000" w:sz="2" w:space="0"/>
              <w:left w:val="single" w:color="000000" w:sz="2" w:space="0"/>
              <w:bottom w:val="single" w:color="000000" w:sz="2" w:space="0"/>
              <w:right w:val="single" w:color="000000" w:sz="2" w:space="0"/>
            </w:tcBorders>
            <w:tcMar>
              <w:left w:w="0" w:type="dxa"/>
              <w:right w:w="0" w:type="dxa"/>
            </w:tcMar>
          </w:tcPr>
          <w:p w14:paraId="4F75CBCD">
            <w:pPr>
              <w:widowControl/>
              <w:autoSpaceDE w:val="0"/>
              <w:autoSpaceDN w:val="0"/>
              <w:spacing w:before="174" w:after="0" w:line="240" w:lineRule="exact"/>
              <w:ind w:left="0" w:right="0" w:firstLine="0"/>
              <w:jc w:val="center"/>
            </w:pPr>
            <w:r>
              <w:rPr>
                <w:rFonts w:ascii="宋体" w:hAnsi="宋体" w:eastAsia="宋体"/>
                <w:b w:val="0"/>
                <w:i w:val="0"/>
                <w:color w:val="000000"/>
                <w:sz w:val="24"/>
              </w:rPr>
              <w:t>推荐单位</w:t>
            </w:r>
          </w:p>
        </w:tc>
        <w:tc>
          <w:tcPr>
            <w:tcW w:w="2202"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4BC573B3"/>
        </w:tc>
        <w:tc>
          <w:tcPr>
            <w:tcW w:w="1208" w:type="dxa"/>
            <w:tcBorders>
              <w:top w:val="single" w:color="000000" w:sz="2" w:space="0"/>
              <w:left w:val="single" w:color="000000" w:sz="2" w:space="0"/>
              <w:bottom w:val="single" w:color="000000" w:sz="2" w:space="0"/>
              <w:right w:val="single" w:color="000000" w:sz="2" w:space="0"/>
            </w:tcBorders>
            <w:tcMar>
              <w:left w:w="0" w:type="dxa"/>
              <w:right w:w="0" w:type="dxa"/>
            </w:tcMar>
          </w:tcPr>
          <w:p w14:paraId="284CCA2C">
            <w:pPr>
              <w:widowControl/>
              <w:autoSpaceDE w:val="0"/>
              <w:autoSpaceDN w:val="0"/>
              <w:spacing w:before="174" w:after="0" w:line="240" w:lineRule="exact"/>
              <w:ind w:left="0" w:right="0" w:firstLine="0"/>
              <w:jc w:val="center"/>
            </w:pPr>
            <w:r>
              <w:rPr>
                <w:rFonts w:ascii="宋体" w:hAnsi="宋体" w:eastAsia="宋体"/>
                <w:b w:val="0"/>
                <w:i w:val="0"/>
                <w:color w:val="000000"/>
                <w:sz w:val="24"/>
              </w:rPr>
              <w:t>电子邮箱</w:t>
            </w:r>
          </w:p>
        </w:tc>
        <w:tc>
          <w:tcPr>
            <w:tcW w:w="251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18D63882"/>
        </w:tc>
        <w:tc>
          <w:tcPr>
            <w:tcW w:w="1454" w:type="dxa"/>
            <w:vMerge w:val="continue"/>
            <w:tcBorders>
              <w:top w:val="single" w:color="000000" w:sz="2" w:space="0"/>
              <w:left w:val="single" w:color="000000" w:sz="2" w:space="0"/>
              <w:bottom w:val="single" w:color="000000" w:sz="2" w:space="0"/>
              <w:right w:val="single" w:color="000000" w:sz="2" w:space="0"/>
            </w:tcBorders>
          </w:tcPr>
          <w:p w14:paraId="7674A99A"/>
        </w:tc>
      </w:tr>
      <w:tr w14:paraId="46C5E56A">
        <w:tblPrEx>
          <w:tblCellMar>
            <w:top w:w="0" w:type="dxa"/>
            <w:left w:w="108" w:type="dxa"/>
            <w:bottom w:w="0" w:type="dxa"/>
            <w:right w:w="108" w:type="dxa"/>
          </w:tblCellMar>
        </w:tblPrEx>
        <w:trPr>
          <w:trHeight w:val="750" w:hRule="exact"/>
        </w:trPr>
        <w:tc>
          <w:tcPr>
            <w:tcW w:w="2054" w:type="dxa"/>
            <w:tcBorders>
              <w:top w:val="single" w:color="000000" w:sz="2" w:space="0"/>
              <w:left w:val="single" w:color="000000" w:sz="2" w:space="0"/>
              <w:bottom w:val="single" w:color="000000" w:sz="2" w:space="0"/>
              <w:right w:val="single" w:color="000000" w:sz="2" w:space="0"/>
            </w:tcBorders>
            <w:tcMar>
              <w:left w:w="0" w:type="dxa"/>
              <w:right w:w="0" w:type="dxa"/>
            </w:tcMar>
          </w:tcPr>
          <w:p w14:paraId="61D4801C">
            <w:pPr>
              <w:widowControl/>
              <w:autoSpaceDE w:val="0"/>
              <w:autoSpaceDN w:val="0"/>
              <w:spacing w:before="0" w:after="0" w:line="348" w:lineRule="exact"/>
              <w:ind w:left="0" w:right="0" w:firstLine="0"/>
              <w:jc w:val="center"/>
            </w:pPr>
            <w:r>
              <w:rPr>
                <w:rFonts w:ascii="宋体" w:hAnsi="宋体" w:eastAsia="宋体"/>
                <w:b w:val="0"/>
                <w:i w:val="0"/>
                <w:color w:val="000000"/>
                <w:sz w:val="24"/>
              </w:rPr>
              <w:t>指导教师姓名</w:t>
            </w:r>
            <w:r>
              <w:br w:type="textWrapping"/>
            </w:r>
            <w:r>
              <w:rPr>
                <w:rFonts w:ascii="宋体" w:hAnsi="宋体" w:eastAsia="宋体"/>
                <w:b w:val="0"/>
                <w:i w:val="0"/>
                <w:color w:val="000000"/>
                <w:sz w:val="24"/>
              </w:rPr>
              <w:t>（仅学生组填写）</w:t>
            </w:r>
          </w:p>
        </w:tc>
        <w:tc>
          <w:tcPr>
            <w:tcW w:w="3410" w:type="dxa"/>
            <w:gridSpan w:val="3"/>
            <w:tcBorders>
              <w:top w:val="single" w:color="000000" w:sz="2" w:space="0"/>
              <w:left w:val="single" w:color="000000" w:sz="2" w:space="0"/>
              <w:bottom w:val="single" w:color="000000" w:sz="2" w:space="0"/>
              <w:right w:val="single" w:color="000000" w:sz="2" w:space="0"/>
            </w:tcBorders>
            <w:tcMar>
              <w:left w:w="0" w:type="dxa"/>
              <w:right w:w="0" w:type="dxa"/>
            </w:tcMar>
          </w:tcPr>
          <w:p w14:paraId="5359F93C"/>
        </w:tc>
        <w:tc>
          <w:tcPr>
            <w:tcW w:w="2516" w:type="dxa"/>
            <w:gridSpan w:val="2"/>
            <w:tcBorders>
              <w:top w:val="single" w:color="000000" w:sz="2" w:space="0"/>
              <w:left w:val="single" w:color="000000" w:sz="2" w:space="0"/>
              <w:bottom w:val="single" w:color="000000" w:sz="2" w:space="0"/>
              <w:right w:val="single" w:color="000000" w:sz="2" w:space="0"/>
            </w:tcBorders>
            <w:tcMar>
              <w:left w:w="0" w:type="dxa"/>
              <w:right w:w="0" w:type="dxa"/>
            </w:tcMar>
          </w:tcPr>
          <w:p w14:paraId="555CA133">
            <w:pPr>
              <w:widowControl/>
              <w:autoSpaceDE w:val="0"/>
              <w:autoSpaceDN w:val="0"/>
              <w:spacing w:before="0" w:after="0" w:line="348" w:lineRule="exact"/>
              <w:ind w:left="288" w:right="288" w:firstLine="0"/>
              <w:jc w:val="center"/>
            </w:pPr>
            <w:r>
              <w:rPr>
                <w:rFonts w:ascii="宋体" w:hAnsi="宋体" w:eastAsia="宋体"/>
                <w:b w:val="0"/>
                <w:i w:val="0"/>
                <w:color w:val="000000"/>
                <w:sz w:val="24"/>
              </w:rPr>
              <w:t>指导教师联系电话（仅学生组填写）</w:t>
            </w:r>
          </w:p>
        </w:tc>
        <w:tc>
          <w:tcPr>
            <w:tcW w:w="2160" w:type="dxa"/>
            <w:tcBorders>
              <w:top w:val="single" w:color="000000" w:sz="2" w:space="0"/>
              <w:left w:val="single" w:color="000000" w:sz="2" w:space="0"/>
              <w:bottom w:val="single" w:color="000000" w:sz="2" w:space="0"/>
              <w:right w:val="single" w:color="000000" w:sz="2" w:space="0"/>
            </w:tcBorders>
            <w:tcMar>
              <w:left w:w="0" w:type="dxa"/>
              <w:right w:w="0" w:type="dxa"/>
            </w:tcMar>
          </w:tcPr>
          <w:p w14:paraId="60A98D2E"/>
        </w:tc>
      </w:tr>
      <w:tr w14:paraId="19CB8E1C">
        <w:tblPrEx>
          <w:tblCellMar>
            <w:top w:w="0" w:type="dxa"/>
            <w:left w:w="108" w:type="dxa"/>
            <w:bottom w:w="0" w:type="dxa"/>
            <w:right w:w="108" w:type="dxa"/>
          </w:tblCellMar>
        </w:tblPrEx>
        <w:trPr>
          <w:trHeight w:val="530" w:hRule="exact"/>
        </w:trPr>
        <w:tc>
          <w:tcPr>
            <w:tcW w:w="2054" w:type="dxa"/>
            <w:tcBorders>
              <w:top w:val="single" w:color="000000" w:sz="2" w:space="0"/>
              <w:left w:val="single" w:color="000000" w:sz="2" w:space="0"/>
              <w:bottom w:val="single" w:color="000000" w:sz="2" w:space="0"/>
              <w:right w:val="single" w:color="000000" w:sz="2" w:space="0"/>
            </w:tcBorders>
            <w:tcMar>
              <w:left w:w="0" w:type="dxa"/>
              <w:right w:w="0" w:type="dxa"/>
            </w:tcMar>
          </w:tcPr>
          <w:p w14:paraId="75103697">
            <w:pPr>
              <w:widowControl/>
              <w:autoSpaceDE w:val="0"/>
              <w:autoSpaceDN w:val="0"/>
              <w:spacing w:before="172" w:after="0" w:line="240" w:lineRule="exact"/>
              <w:ind w:left="0" w:right="0" w:firstLine="0"/>
              <w:jc w:val="center"/>
            </w:pPr>
            <w:r>
              <w:rPr>
                <w:rFonts w:ascii="宋体" w:hAnsi="宋体" w:eastAsia="宋体"/>
                <w:b w:val="0"/>
                <w:i w:val="0"/>
                <w:color w:val="000000"/>
                <w:sz w:val="24"/>
              </w:rPr>
              <w:t>参赛组别</w:t>
            </w:r>
          </w:p>
        </w:tc>
        <w:tc>
          <w:tcPr>
            <w:tcW w:w="8086" w:type="dxa"/>
            <w:gridSpan w:val="6"/>
            <w:tcBorders>
              <w:top w:val="single" w:color="000000" w:sz="2" w:space="0"/>
              <w:left w:val="single" w:color="000000" w:sz="2" w:space="0"/>
              <w:bottom w:val="single" w:color="000000" w:sz="2" w:space="0"/>
              <w:right w:val="single" w:color="000000" w:sz="2" w:space="0"/>
            </w:tcBorders>
            <w:tcMar>
              <w:left w:w="0" w:type="dxa"/>
              <w:right w:w="0" w:type="dxa"/>
            </w:tcMar>
          </w:tcPr>
          <w:p w14:paraId="2839CC0F">
            <w:pPr>
              <w:widowControl/>
              <w:tabs>
                <w:tab w:val="left" w:pos="4804"/>
              </w:tabs>
              <w:autoSpaceDE w:val="0"/>
              <w:autoSpaceDN w:val="0"/>
              <w:spacing w:before="172" w:after="0" w:line="254" w:lineRule="exact"/>
              <w:ind w:left="1878" w:right="0" w:firstLine="0"/>
              <w:jc w:val="left"/>
            </w:pPr>
            <w:r>
              <w:rPr>
                <w:rFonts w:ascii="宋体" w:hAnsi="宋体" w:eastAsia="宋体"/>
                <w:b w:val="0"/>
                <w:i w:val="0"/>
                <w:color w:val="000000"/>
                <w:sz w:val="24"/>
              </w:rPr>
              <w:t>职工组</w:t>
            </w:r>
            <w:r>
              <w:rPr>
                <w:rFonts w:ascii="Wingdings2" w:hAnsi="Wingdings2" w:eastAsia="Wingdings2"/>
                <w:b w:val="0"/>
                <w:i w:val="0"/>
                <w:color w:val="000000"/>
                <w:sz w:val="24"/>
              </w:rPr>
              <w:t></w:t>
            </w:r>
            <w:r>
              <w:tab/>
            </w:r>
            <w:r>
              <w:rPr>
                <w:rFonts w:ascii="宋体" w:hAnsi="宋体" w:eastAsia="宋体"/>
                <w:b w:val="0"/>
                <w:i w:val="0"/>
                <w:color w:val="000000"/>
                <w:sz w:val="24"/>
              </w:rPr>
              <w:t>在校学生组</w:t>
            </w:r>
            <w:r>
              <w:rPr>
                <w:rFonts w:ascii="Wingdings2" w:hAnsi="Wingdings2" w:eastAsia="Wingdings2"/>
                <w:b w:val="0"/>
                <w:i w:val="0"/>
                <w:color w:val="000000"/>
                <w:sz w:val="24"/>
              </w:rPr>
              <w:t></w:t>
            </w:r>
          </w:p>
        </w:tc>
      </w:tr>
      <w:tr w14:paraId="153B97D7">
        <w:tblPrEx>
          <w:tblCellMar>
            <w:top w:w="0" w:type="dxa"/>
            <w:left w:w="108" w:type="dxa"/>
            <w:bottom w:w="0" w:type="dxa"/>
            <w:right w:w="108" w:type="dxa"/>
          </w:tblCellMar>
        </w:tblPrEx>
        <w:trPr>
          <w:trHeight w:val="3590" w:hRule="exact"/>
        </w:trPr>
        <w:tc>
          <w:tcPr>
            <w:tcW w:w="2054" w:type="dxa"/>
            <w:tcBorders>
              <w:top w:val="single" w:color="000000" w:sz="2" w:space="0"/>
              <w:left w:val="single" w:color="000000" w:sz="2" w:space="0"/>
              <w:bottom w:val="single" w:color="000000" w:sz="2" w:space="0"/>
              <w:right w:val="single" w:color="000000" w:sz="2" w:space="0"/>
            </w:tcBorders>
            <w:tcMar>
              <w:left w:w="0" w:type="dxa"/>
              <w:right w:w="0" w:type="dxa"/>
            </w:tcMar>
          </w:tcPr>
          <w:p w14:paraId="5D88FAB2">
            <w:pPr>
              <w:widowControl/>
              <w:autoSpaceDE w:val="0"/>
              <w:autoSpaceDN w:val="0"/>
              <w:spacing w:before="752" w:after="0" w:line="580" w:lineRule="exact"/>
              <w:ind w:left="904" w:right="902" w:firstLine="0"/>
              <w:jc w:val="both"/>
            </w:pPr>
            <w:r>
              <w:rPr>
                <w:rFonts w:ascii="宋体" w:hAnsi="宋体" w:eastAsia="宋体"/>
                <w:b w:val="0"/>
                <w:i w:val="0"/>
                <w:color w:val="000000"/>
                <w:sz w:val="24"/>
              </w:rPr>
              <w:t>工</w:t>
            </w:r>
            <w:r>
              <w:br w:type="textWrapping"/>
            </w:r>
            <w:r>
              <w:rPr>
                <w:rFonts w:ascii="宋体" w:hAnsi="宋体" w:eastAsia="宋体"/>
                <w:b w:val="0"/>
                <w:i w:val="0"/>
                <w:color w:val="000000"/>
                <w:sz w:val="24"/>
              </w:rPr>
              <w:t>作</w:t>
            </w:r>
            <w:r>
              <w:br w:type="textWrapping"/>
            </w:r>
            <w:r>
              <w:rPr>
                <w:rFonts w:ascii="宋体" w:hAnsi="宋体" w:eastAsia="宋体"/>
                <w:b w:val="0"/>
                <w:i w:val="0"/>
                <w:color w:val="000000"/>
                <w:sz w:val="24"/>
              </w:rPr>
              <w:t>简</w:t>
            </w:r>
            <w:r>
              <w:br w:type="textWrapping"/>
            </w:r>
            <w:r>
              <w:rPr>
                <w:rFonts w:ascii="宋体" w:hAnsi="宋体" w:eastAsia="宋体"/>
                <w:b w:val="0"/>
                <w:i w:val="0"/>
                <w:color w:val="000000"/>
                <w:sz w:val="24"/>
              </w:rPr>
              <w:t>历</w:t>
            </w:r>
          </w:p>
        </w:tc>
        <w:tc>
          <w:tcPr>
            <w:tcW w:w="8086" w:type="dxa"/>
            <w:gridSpan w:val="6"/>
            <w:tcBorders>
              <w:top w:val="single" w:color="000000" w:sz="2" w:space="0"/>
              <w:left w:val="single" w:color="000000" w:sz="2" w:space="0"/>
              <w:bottom w:val="single" w:color="000000" w:sz="2" w:space="0"/>
              <w:right w:val="single" w:color="000000" w:sz="2" w:space="0"/>
            </w:tcBorders>
            <w:tcMar>
              <w:left w:w="0" w:type="dxa"/>
              <w:right w:w="0" w:type="dxa"/>
            </w:tcMar>
          </w:tcPr>
          <w:p w14:paraId="2BB81992"/>
        </w:tc>
      </w:tr>
      <w:tr w14:paraId="297E0139">
        <w:tblPrEx>
          <w:tblCellMar>
            <w:top w:w="0" w:type="dxa"/>
            <w:left w:w="108" w:type="dxa"/>
            <w:bottom w:w="0" w:type="dxa"/>
            <w:right w:w="108" w:type="dxa"/>
          </w:tblCellMar>
        </w:tblPrEx>
        <w:trPr>
          <w:trHeight w:val="2904" w:hRule="exact"/>
        </w:trPr>
        <w:tc>
          <w:tcPr>
            <w:tcW w:w="2054" w:type="dxa"/>
            <w:tcBorders>
              <w:top w:val="single" w:color="000000" w:sz="2" w:space="0"/>
              <w:left w:val="single" w:color="000000" w:sz="2" w:space="0"/>
              <w:bottom w:val="single" w:color="000000" w:sz="2" w:space="0"/>
              <w:right w:val="single" w:color="000000" w:sz="2" w:space="0"/>
            </w:tcBorders>
            <w:tcMar>
              <w:left w:w="0" w:type="dxa"/>
              <w:right w:w="0" w:type="dxa"/>
            </w:tcMar>
          </w:tcPr>
          <w:p w14:paraId="1D46ECF5">
            <w:pPr>
              <w:widowControl/>
              <w:autoSpaceDE w:val="0"/>
              <w:autoSpaceDN w:val="0"/>
              <w:spacing w:before="118" w:after="0" w:line="580" w:lineRule="exact"/>
              <w:ind w:left="904" w:right="902" w:firstLine="0"/>
              <w:jc w:val="both"/>
            </w:pPr>
            <w:r>
              <w:rPr>
                <w:rFonts w:ascii="宋体" w:hAnsi="宋体" w:eastAsia="宋体"/>
                <w:b w:val="0"/>
                <w:i w:val="0"/>
                <w:color w:val="000000"/>
                <w:sz w:val="24"/>
              </w:rPr>
              <w:t>单</w:t>
            </w:r>
            <w:r>
              <w:br w:type="textWrapping"/>
            </w:r>
            <w:r>
              <w:rPr>
                <w:rFonts w:ascii="宋体" w:hAnsi="宋体" w:eastAsia="宋体"/>
                <w:b w:val="0"/>
                <w:i w:val="0"/>
                <w:color w:val="000000"/>
                <w:sz w:val="24"/>
              </w:rPr>
              <w:t>位</w:t>
            </w:r>
            <w:r>
              <w:br w:type="textWrapping"/>
            </w:r>
            <w:r>
              <w:rPr>
                <w:rFonts w:ascii="宋体" w:hAnsi="宋体" w:eastAsia="宋体"/>
                <w:b w:val="0"/>
                <w:i w:val="0"/>
                <w:color w:val="000000"/>
                <w:sz w:val="24"/>
              </w:rPr>
              <w:t>意</w:t>
            </w:r>
            <w:r>
              <w:br w:type="textWrapping"/>
            </w:r>
            <w:r>
              <w:rPr>
                <w:rFonts w:ascii="宋体" w:hAnsi="宋体" w:eastAsia="宋体"/>
                <w:b w:val="0"/>
                <w:i w:val="0"/>
                <w:color w:val="000000"/>
                <w:sz w:val="24"/>
              </w:rPr>
              <w:t>见</w:t>
            </w:r>
          </w:p>
        </w:tc>
        <w:tc>
          <w:tcPr>
            <w:tcW w:w="8086" w:type="dxa"/>
            <w:gridSpan w:val="6"/>
            <w:tcBorders>
              <w:top w:val="single" w:color="000000" w:sz="2" w:space="0"/>
              <w:left w:val="single" w:color="000000" w:sz="2" w:space="0"/>
              <w:bottom w:val="single" w:color="000000" w:sz="2" w:space="0"/>
              <w:right w:val="single" w:color="000000" w:sz="2" w:space="0"/>
            </w:tcBorders>
            <w:tcMar>
              <w:left w:w="0" w:type="dxa"/>
              <w:right w:w="0" w:type="dxa"/>
            </w:tcMar>
          </w:tcPr>
          <w:p w14:paraId="2ED7D071">
            <w:pPr>
              <w:widowControl/>
              <w:autoSpaceDE w:val="0"/>
              <w:autoSpaceDN w:val="0"/>
              <w:spacing w:before="1908" w:after="278" w:line="240" w:lineRule="exact"/>
              <w:ind w:left="0" w:right="3152" w:firstLine="0"/>
              <w:jc w:val="right"/>
            </w:pPr>
            <w:r>
              <w:rPr>
                <w:rFonts w:ascii="宋体" w:hAnsi="宋体" w:eastAsia="宋体"/>
                <w:b w:val="0"/>
                <w:i w:val="0"/>
                <w:color w:val="000000"/>
                <w:sz w:val="24"/>
              </w:rPr>
              <w:t>推荐单位签章：</w:t>
            </w:r>
          </w:p>
          <w:tbl>
            <w:tblPr>
              <w:tblStyle w:val="32"/>
              <w:tblW w:w="0" w:type="auto"/>
              <w:tblInd w:w="2822" w:type="dxa"/>
              <w:tblLayout w:type="fixed"/>
              <w:tblCellMar>
                <w:top w:w="0" w:type="dxa"/>
                <w:left w:w="108" w:type="dxa"/>
                <w:bottom w:w="0" w:type="dxa"/>
                <w:right w:w="108" w:type="dxa"/>
              </w:tblCellMar>
            </w:tblPr>
            <w:tblGrid>
              <w:gridCol w:w="2695"/>
              <w:gridCol w:w="2695"/>
              <w:gridCol w:w="2695"/>
            </w:tblGrid>
            <w:tr w14:paraId="16B82FD7">
              <w:tblPrEx>
                <w:tblCellMar>
                  <w:top w:w="0" w:type="dxa"/>
                  <w:left w:w="108" w:type="dxa"/>
                  <w:bottom w:w="0" w:type="dxa"/>
                  <w:right w:w="108" w:type="dxa"/>
                </w:tblCellMar>
              </w:tblPrEx>
              <w:trPr>
                <w:trHeight w:val="340" w:hRule="exact"/>
              </w:trPr>
              <w:tc>
                <w:tcPr>
                  <w:tcW w:w="3260" w:type="dxa"/>
                  <w:tcMar>
                    <w:left w:w="0" w:type="dxa"/>
                    <w:right w:w="0" w:type="dxa"/>
                  </w:tcMar>
                </w:tcPr>
                <w:p w14:paraId="58853DE4">
                  <w:pPr>
                    <w:widowControl/>
                    <w:autoSpaceDE w:val="0"/>
                    <w:autoSpaceDN w:val="0"/>
                    <w:spacing w:before="60" w:after="0" w:line="240" w:lineRule="exact"/>
                    <w:ind w:left="0" w:right="160" w:firstLine="0"/>
                    <w:jc w:val="right"/>
                  </w:pPr>
                  <w:r>
                    <w:rPr>
                      <w:rFonts w:ascii="宋体" w:hAnsi="宋体" w:eastAsia="宋体"/>
                      <w:b w:val="0"/>
                      <w:i w:val="0"/>
                      <w:color w:val="000000"/>
                      <w:sz w:val="24"/>
                    </w:rPr>
                    <w:t>年</w:t>
                  </w:r>
                </w:p>
              </w:tc>
              <w:tc>
                <w:tcPr>
                  <w:tcW w:w="600" w:type="dxa"/>
                  <w:tcMar>
                    <w:left w:w="0" w:type="dxa"/>
                    <w:right w:w="0" w:type="dxa"/>
                  </w:tcMar>
                </w:tcPr>
                <w:p w14:paraId="52CCB902">
                  <w:pPr>
                    <w:widowControl/>
                    <w:autoSpaceDE w:val="0"/>
                    <w:autoSpaceDN w:val="0"/>
                    <w:spacing w:before="60" w:after="0" w:line="240" w:lineRule="exact"/>
                    <w:ind w:left="0" w:right="0" w:firstLine="0"/>
                    <w:jc w:val="center"/>
                  </w:pPr>
                  <w:r>
                    <w:rPr>
                      <w:rFonts w:ascii="宋体" w:hAnsi="宋体" w:eastAsia="宋体"/>
                      <w:b w:val="0"/>
                      <w:i w:val="0"/>
                      <w:color w:val="000000"/>
                      <w:sz w:val="24"/>
                    </w:rPr>
                    <w:t>月</w:t>
                  </w:r>
                </w:p>
              </w:tc>
              <w:tc>
                <w:tcPr>
                  <w:tcW w:w="900" w:type="dxa"/>
                  <w:tcMar>
                    <w:left w:w="0" w:type="dxa"/>
                    <w:right w:w="0" w:type="dxa"/>
                  </w:tcMar>
                </w:tcPr>
                <w:p w14:paraId="510AA28C">
                  <w:pPr>
                    <w:widowControl/>
                    <w:autoSpaceDE w:val="0"/>
                    <w:autoSpaceDN w:val="0"/>
                    <w:spacing w:before="60" w:after="0" w:line="240" w:lineRule="exact"/>
                    <w:ind w:left="180" w:right="0" w:firstLine="0"/>
                    <w:jc w:val="left"/>
                  </w:pPr>
                  <w:r>
                    <w:rPr>
                      <w:rFonts w:ascii="宋体" w:hAnsi="宋体" w:eastAsia="宋体"/>
                      <w:b w:val="0"/>
                      <w:i w:val="0"/>
                      <w:color w:val="000000"/>
                      <w:sz w:val="24"/>
                    </w:rPr>
                    <w:t>日</w:t>
                  </w:r>
                </w:p>
              </w:tc>
            </w:tr>
          </w:tbl>
          <w:p w14:paraId="42B7CFEE">
            <w:pPr>
              <w:widowControl/>
              <w:autoSpaceDE w:val="0"/>
              <w:autoSpaceDN w:val="0"/>
              <w:spacing w:before="0" w:after="0" w:line="14" w:lineRule="exact"/>
              <w:ind w:left="0" w:right="0"/>
            </w:pPr>
          </w:p>
        </w:tc>
      </w:tr>
    </w:tbl>
    <w:p w14:paraId="184F2617">
      <w:pPr>
        <w:widowControl/>
        <w:autoSpaceDE w:val="0"/>
        <w:autoSpaceDN w:val="0"/>
        <w:spacing w:before="1176" w:after="0" w:line="200" w:lineRule="exact"/>
        <w:ind w:left="0" w:right="0" w:firstLine="0"/>
        <w:jc w:val="center"/>
      </w:pPr>
      <w:r>
        <w:rPr>
          <w:rFonts w:ascii="TimesNewRomanPSMT" w:hAnsi="TimesNewRomanPSMT" w:eastAsia="TimesNewRomanPSMT"/>
          <w:b w:val="0"/>
          <w:i w:val="0"/>
          <w:color w:val="000000"/>
          <w:sz w:val="18"/>
        </w:rPr>
        <w:t>16</w:t>
      </w:r>
    </w:p>
    <w:p w14:paraId="7A13404A">
      <w:pPr>
        <w:sectPr>
          <w:pgSz w:w="11906" w:h="16838"/>
          <w:pgMar w:top="1114" w:right="798" w:bottom="498" w:left="930" w:header="720" w:footer="720" w:gutter="0"/>
          <w:cols w:space="720" w:num="1"/>
          <w:docGrid w:linePitch="360" w:charSpace="0"/>
        </w:sectPr>
      </w:pPr>
    </w:p>
    <w:p w14:paraId="572F91C8">
      <w:pPr>
        <w:widowControl/>
        <w:autoSpaceDE w:val="0"/>
        <w:autoSpaceDN w:val="0"/>
        <w:spacing w:before="0" w:after="744" w:line="220" w:lineRule="exact"/>
        <w:ind w:left="0" w:right="0"/>
      </w:pPr>
    </w:p>
    <w:p w14:paraId="5B21CAC9">
      <w:pPr>
        <w:widowControl/>
        <w:tabs>
          <w:tab w:val="left" w:pos="588"/>
          <w:tab w:val="left" w:pos="4906"/>
        </w:tabs>
        <w:autoSpaceDE w:val="0"/>
        <w:autoSpaceDN w:val="0"/>
        <w:spacing w:before="0" w:after="156" w:line="510" w:lineRule="exact"/>
        <w:ind w:left="544" w:right="720" w:firstLine="0"/>
        <w:jc w:val="left"/>
      </w:pPr>
      <w:r>
        <w:rPr>
          <w:rFonts w:ascii="仿宋" w:hAnsi="仿宋" w:eastAsia="仿宋"/>
          <w:b w:val="0"/>
          <w:i w:val="0"/>
          <w:color w:val="000000"/>
          <w:sz w:val="32"/>
        </w:rPr>
        <w:t>附件 2：</w:t>
      </w:r>
      <w:r>
        <w:br w:type="textWrapping"/>
      </w:r>
      <w:r>
        <w:rPr>
          <w:rFonts w:ascii="FZXBSJW" w:hAnsi="FZXBSJW" w:eastAsia="FZXBSJW"/>
          <w:b w:val="0"/>
          <w:i w:val="0"/>
          <w:color w:val="000000"/>
          <w:sz w:val="36"/>
        </w:rPr>
        <w:t>山东省“技能兴鲁”职业技能大赛——2024 年全省研学旅行指导师职业技能竞赛</w:t>
      </w:r>
      <w:r>
        <w:tab/>
      </w:r>
      <w:r>
        <w:tab/>
      </w:r>
      <w:r>
        <w:rPr>
          <w:rFonts w:ascii="FZXBSJW" w:hAnsi="FZXBSJW" w:eastAsia="FZXBSJW"/>
          <w:b w:val="0"/>
          <w:i w:val="0"/>
          <w:color w:val="000000"/>
          <w:sz w:val="36"/>
        </w:rPr>
        <w:t>单位推荐选手报名汇总表</w:t>
      </w:r>
    </w:p>
    <w:tbl>
      <w:tblPr>
        <w:tblStyle w:val="32"/>
        <w:tblW w:w="0" w:type="auto"/>
        <w:tblInd w:w="260" w:type="dxa"/>
        <w:tblLayout w:type="fixed"/>
        <w:tblCellMar>
          <w:top w:w="0" w:type="dxa"/>
          <w:left w:w="108" w:type="dxa"/>
          <w:bottom w:w="0" w:type="dxa"/>
          <w:right w:w="108" w:type="dxa"/>
        </w:tblCellMar>
      </w:tblPr>
      <w:tblGrid>
        <w:gridCol w:w="6979"/>
        <w:gridCol w:w="6979"/>
      </w:tblGrid>
      <w:tr w14:paraId="05A1F12F">
        <w:tblPrEx>
          <w:tblCellMar>
            <w:top w:w="0" w:type="dxa"/>
            <w:left w:w="108" w:type="dxa"/>
            <w:bottom w:w="0" w:type="dxa"/>
            <w:right w:w="108" w:type="dxa"/>
          </w:tblCellMar>
        </w:tblPrEx>
        <w:trPr>
          <w:trHeight w:val="420" w:hRule="exact"/>
        </w:trPr>
        <w:tc>
          <w:tcPr>
            <w:tcW w:w="5160" w:type="dxa"/>
            <w:tcMar>
              <w:left w:w="0" w:type="dxa"/>
              <w:right w:w="0" w:type="dxa"/>
            </w:tcMar>
          </w:tcPr>
          <w:p w14:paraId="5754CDCA">
            <w:pPr>
              <w:widowControl/>
              <w:autoSpaceDE w:val="0"/>
              <w:autoSpaceDN w:val="0"/>
              <w:spacing w:before="60" w:after="0" w:line="300" w:lineRule="exact"/>
              <w:ind w:left="284" w:right="0" w:firstLine="0"/>
              <w:jc w:val="left"/>
            </w:pPr>
            <w:r>
              <w:rPr>
                <w:rFonts w:ascii="仿宋" w:hAnsi="仿宋" w:eastAsia="仿宋"/>
                <w:b w:val="0"/>
                <w:i w:val="0"/>
                <w:color w:val="000000"/>
                <w:sz w:val="30"/>
              </w:rPr>
              <w:t>报名单位：</w:t>
            </w:r>
          </w:p>
        </w:tc>
        <w:tc>
          <w:tcPr>
            <w:tcW w:w="6560" w:type="dxa"/>
            <w:tcMar>
              <w:left w:w="0" w:type="dxa"/>
              <w:right w:w="0" w:type="dxa"/>
            </w:tcMar>
          </w:tcPr>
          <w:p w14:paraId="2E170018">
            <w:pPr>
              <w:widowControl/>
              <w:autoSpaceDE w:val="0"/>
              <w:autoSpaceDN w:val="0"/>
              <w:spacing w:before="60" w:after="0" w:line="300" w:lineRule="exact"/>
              <w:ind w:left="0" w:right="1964" w:firstLine="0"/>
              <w:jc w:val="right"/>
            </w:pPr>
            <w:r>
              <w:rPr>
                <w:rFonts w:ascii="仿宋" w:hAnsi="仿宋" w:eastAsia="仿宋"/>
                <w:b w:val="0"/>
                <w:i w:val="0"/>
                <w:color w:val="000000"/>
                <w:sz w:val="30"/>
              </w:rPr>
              <w:t>联系人：</w:t>
            </w:r>
          </w:p>
        </w:tc>
      </w:tr>
    </w:tbl>
    <w:p w14:paraId="089851B1">
      <w:pPr>
        <w:widowControl/>
        <w:autoSpaceDE w:val="0"/>
        <w:autoSpaceDN w:val="0"/>
        <w:spacing w:before="0" w:after="0" w:line="78" w:lineRule="exact"/>
        <w:ind w:left="0" w:right="0"/>
      </w:pPr>
    </w:p>
    <w:tbl>
      <w:tblPr>
        <w:tblStyle w:val="32"/>
        <w:tblW w:w="0" w:type="auto"/>
        <w:tblInd w:w="435" w:type="dxa"/>
        <w:tblLayout w:type="fixed"/>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15EAEF0">
        <w:tblPrEx>
          <w:tblCellMar>
            <w:top w:w="0" w:type="dxa"/>
            <w:left w:w="108" w:type="dxa"/>
            <w:bottom w:w="0" w:type="dxa"/>
            <w:right w:w="108" w:type="dxa"/>
          </w:tblCellMar>
        </w:tblPrEx>
        <w:trPr>
          <w:trHeight w:val="1170" w:hRule="exact"/>
        </w:trPr>
        <w:tc>
          <w:tcPr>
            <w:tcW w:w="496" w:type="dxa"/>
            <w:tcBorders>
              <w:top w:val="single" w:color="000000" w:sz="2" w:space="0"/>
              <w:left w:val="single" w:color="000000" w:sz="2" w:space="0"/>
              <w:bottom w:val="single" w:color="000000" w:sz="2" w:space="0"/>
              <w:right w:val="single" w:color="000000" w:sz="2" w:space="0"/>
            </w:tcBorders>
            <w:tcMar>
              <w:left w:w="0" w:type="dxa"/>
              <w:right w:w="0" w:type="dxa"/>
            </w:tcMar>
          </w:tcPr>
          <w:p w14:paraId="6BDA3BD6">
            <w:pPr>
              <w:widowControl/>
              <w:autoSpaceDE w:val="0"/>
              <w:autoSpaceDN w:val="0"/>
              <w:spacing w:before="0" w:after="0" w:line="496" w:lineRule="exact"/>
              <w:ind w:left="0" w:right="0" w:firstLine="0"/>
              <w:jc w:val="center"/>
            </w:pPr>
            <w:r>
              <w:rPr>
                <w:rFonts w:ascii="仿宋" w:hAnsi="仿宋" w:eastAsia="仿宋"/>
                <w:b w:val="0"/>
                <w:i w:val="0"/>
                <w:color w:val="000000"/>
                <w:sz w:val="24"/>
              </w:rPr>
              <w:t>序</w:t>
            </w:r>
            <w:r>
              <w:br w:type="textWrapping"/>
            </w:r>
            <w:r>
              <w:rPr>
                <w:rFonts w:ascii="仿宋" w:hAnsi="仿宋" w:eastAsia="仿宋"/>
                <w:b w:val="0"/>
                <w:i w:val="0"/>
                <w:color w:val="000000"/>
                <w:sz w:val="24"/>
              </w:rPr>
              <w:t>号</w:t>
            </w:r>
          </w:p>
        </w:tc>
        <w:tc>
          <w:tcPr>
            <w:tcW w:w="2140" w:type="dxa"/>
            <w:tcBorders>
              <w:top w:val="single" w:color="000000" w:sz="2" w:space="0"/>
              <w:left w:val="single" w:color="000000" w:sz="2" w:space="0"/>
              <w:bottom w:val="single" w:color="000000" w:sz="2" w:space="0"/>
              <w:right w:val="single" w:color="000000" w:sz="2" w:space="0"/>
            </w:tcBorders>
            <w:tcMar>
              <w:left w:w="0" w:type="dxa"/>
              <w:right w:w="0" w:type="dxa"/>
            </w:tcMar>
          </w:tcPr>
          <w:p w14:paraId="4DB7A7E3">
            <w:pPr>
              <w:widowControl/>
              <w:autoSpaceDE w:val="0"/>
              <w:autoSpaceDN w:val="0"/>
              <w:spacing w:before="0" w:after="0" w:line="496" w:lineRule="exact"/>
              <w:ind w:left="0" w:right="0" w:firstLine="0"/>
              <w:jc w:val="center"/>
            </w:pPr>
            <w:r>
              <w:rPr>
                <w:rFonts w:ascii="仿宋" w:hAnsi="仿宋" w:eastAsia="仿宋"/>
                <w:b w:val="0"/>
                <w:i w:val="0"/>
                <w:color w:val="000000"/>
                <w:sz w:val="24"/>
              </w:rPr>
              <w:t>参赛组别（职工组/学生组）</w:t>
            </w:r>
          </w:p>
        </w:tc>
        <w:tc>
          <w:tcPr>
            <w:tcW w:w="1262" w:type="dxa"/>
            <w:tcBorders>
              <w:top w:val="single" w:color="000000" w:sz="2" w:space="0"/>
              <w:left w:val="single" w:color="000000" w:sz="2" w:space="0"/>
              <w:bottom w:val="single" w:color="000000" w:sz="2" w:space="0"/>
              <w:right w:val="single" w:color="000000" w:sz="2" w:space="0"/>
            </w:tcBorders>
            <w:tcMar>
              <w:left w:w="0" w:type="dxa"/>
              <w:right w:w="0" w:type="dxa"/>
            </w:tcMar>
          </w:tcPr>
          <w:p w14:paraId="20DF1548">
            <w:pPr>
              <w:widowControl/>
              <w:autoSpaceDE w:val="0"/>
              <w:autoSpaceDN w:val="0"/>
              <w:spacing w:before="460" w:after="0" w:line="240" w:lineRule="exact"/>
              <w:ind w:left="0" w:right="0" w:firstLine="0"/>
              <w:jc w:val="center"/>
            </w:pPr>
            <w:r>
              <w:rPr>
                <w:rFonts w:ascii="仿宋" w:hAnsi="仿宋" w:eastAsia="仿宋"/>
                <w:b w:val="0"/>
                <w:i w:val="0"/>
                <w:color w:val="000000"/>
                <w:sz w:val="24"/>
              </w:rPr>
              <w:t>姓名</w:t>
            </w:r>
          </w:p>
        </w:tc>
        <w:tc>
          <w:tcPr>
            <w:tcW w:w="982" w:type="dxa"/>
            <w:tcBorders>
              <w:top w:val="single" w:color="000000" w:sz="2" w:space="0"/>
              <w:left w:val="single" w:color="000000" w:sz="2" w:space="0"/>
              <w:bottom w:val="single" w:color="000000" w:sz="2" w:space="0"/>
              <w:right w:val="single" w:color="000000" w:sz="2" w:space="0"/>
            </w:tcBorders>
            <w:tcMar>
              <w:left w:w="0" w:type="dxa"/>
              <w:right w:w="0" w:type="dxa"/>
            </w:tcMar>
          </w:tcPr>
          <w:p w14:paraId="046D3BBE">
            <w:pPr>
              <w:widowControl/>
              <w:autoSpaceDE w:val="0"/>
              <w:autoSpaceDN w:val="0"/>
              <w:spacing w:before="460" w:after="0" w:line="240" w:lineRule="exact"/>
              <w:ind w:left="0" w:right="0" w:firstLine="0"/>
              <w:jc w:val="center"/>
            </w:pPr>
            <w:r>
              <w:rPr>
                <w:rFonts w:ascii="仿宋" w:hAnsi="仿宋" w:eastAsia="仿宋"/>
                <w:b w:val="0"/>
                <w:i w:val="0"/>
                <w:color w:val="000000"/>
                <w:sz w:val="24"/>
              </w:rPr>
              <w:t>性别</w:t>
            </w:r>
          </w:p>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1FEB8998">
            <w:pPr>
              <w:widowControl/>
              <w:autoSpaceDE w:val="0"/>
              <w:autoSpaceDN w:val="0"/>
              <w:spacing w:before="460" w:after="0" w:line="240" w:lineRule="exact"/>
              <w:ind w:left="0" w:right="0" w:firstLine="0"/>
              <w:jc w:val="center"/>
            </w:pPr>
            <w:r>
              <w:rPr>
                <w:rFonts w:ascii="仿宋" w:hAnsi="仿宋" w:eastAsia="仿宋"/>
                <w:b w:val="0"/>
                <w:i w:val="0"/>
                <w:color w:val="000000"/>
                <w:sz w:val="24"/>
              </w:rPr>
              <w:t>身份证号码</w:t>
            </w:r>
          </w:p>
        </w:tc>
        <w:tc>
          <w:tcPr>
            <w:tcW w:w="12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10BF8D7">
            <w:pPr>
              <w:widowControl/>
              <w:autoSpaceDE w:val="0"/>
              <w:autoSpaceDN w:val="0"/>
              <w:spacing w:before="460" w:after="0" w:line="240" w:lineRule="exact"/>
              <w:ind w:left="0" w:right="0" w:firstLine="0"/>
              <w:jc w:val="center"/>
            </w:pPr>
            <w:r>
              <w:rPr>
                <w:rFonts w:ascii="仿宋" w:hAnsi="仿宋" w:eastAsia="仿宋"/>
                <w:b w:val="0"/>
                <w:i w:val="0"/>
                <w:color w:val="000000"/>
                <w:sz w:val="24"/>
              </w:rPr>
              <w:t>联系电话</w:t>
            </w:r>
          </w:p>
        </w:tc>
        <w:tc>
          <w:tcPr>
            <w:tcW w:w="1402" w:type="dxa"/>
            <w:tcBorders>
              <w:top w:val="single" w:color="000000" w:sz="2" w:space="0"/>
              <w:left w:val="single" w:color="000000" w:sz="2" w:space="0"/>
              <w:bottom w:val="single" w:color="000000" w:sz="2" w:space="0"/>
              <w:right w:val="single" w:color="000000" w:sz="2" w:space="0"/>
            </w:tcBorders>
            <w:tcMar>
              <w:left w:w="0" w:type="dxa"/>
              <w:right w:w="0" w:type="dxa"/>
            </w:tcMar>
          </w:tcPr>
          <w:p w14:paraId="20BB918C">
            <w:pPr>
              <w:widowControl/>
              <w:autoSpaceDE w:val="0"/>
              <w:autoSpaceDN w:val="0"/>
              <w:spacing w:before="460" w:after="0" w:line="240" w:lineRule="exact"/>
              <w:ind w:left="0" w:right="0" w:firstLine="0"/>
              <w:jc w:val="center"/>
            </w:pPr>
            <w:r>
              <w:rPr>
                <w:rFonts w:ascii="仿宋" w:hAnsi="仿宋" w:eastAsia="仿宋"/>
                <w:b w:val="0"/>
                <w:i w:val="0"/>
                <w:color w:val="000000"/>
                <w:sz w:val="24"/>
              </w:rPr>
              <w:t>电子邮箱</w:t>
            </w:r>
          </w:p>
        </w:tc>
        <w:tc>
          <w:tcPr>
            <w:tcW w:w="1404" w:type="dxa"/>
            <w:tcBorders>
              <w:top w:val="single" w:color="000000" w:sz="2" w:space="0"/>
              <w:left w:val="single" w:color="000000" w:sz="2" w:space="0"/>
              <w:bottom w:val="single" w:color="000000" w:sz="2" w:space="0"/>
              <w:right w:val="single" w:color="000000" w:sz="2" w:space="0"/>
            </w:tcBorders>
            <w:tcMar>
              <w:left w:w="0" w:type="dxa"/>
              <w:right w:w="0" w:type="dxa"/>
            </w:tcMar>
          </w:tcPr>
          <w:p w14:paraId="09325D3A">
            <w:pPr>
              <w:widowControl/>
              <w:autoSpaceDE w:val="0"/>
              <w:autoSpaceDN w:val="0"/>
              <w:spacing w:before="460" w:after="0" w:line="240" w:lineRule="exact"/>
              <w:ind w:left="0" w:right="0" w:firstLine="0"/>
              <w:jc w:val="center"/>
            </w:pPr>
            <w:r>
              <w:rPr>
                <w:rFonts w:ascii="仿宋" w:hAnsi="仿宋" w:eastAsia="仿宋"/>
                <w:b w:val="0"/>
                <w:i w:val="0"/>
                <w:color w:val="000000"/>
                <w:sz w:val="24"/>
              </w:rPr>
              <w:t>指导教师</w:t>
            </w:r>
          </w:p>
        </w:tc>
        <w:tc>
          <w:tcPr>
            <w:tcW w:w="1406" w:type="dxa"/>
            <w:tcBorders>
              <w:top w:val="single" w:color="000000" w:sz="2" w:space="0"/>
              <w:left w:val="single" w:color="000000" w:sz="2" w:space="0"/>
              <w:bottom w:val="single" w:color="000000" w:sz="2" w:space="0"/>
              <w:right w:val="single" w:color="000000" w:sz="2" w:space="0"/>
            </w:tcBorders>
            <w:tcMar>
              <w:left w:w="0" w:type="dxa"/>
              <w:right w:w="0" w:type="dxa"/>
            </w:tcMar>
          </w:tcPr>
          <w:p w14:paraId="07001239">
            <w:pPr>
              <w:widowControl/>
              <w:autoSpaceDE w:val="0"/>
              <w:autoSpaceDN w:val="0"/>
              <w:spacing w:before="0" w:after="0" w:line="496" w:lineRule="exact"/>
              <w:ind w:left="0" w:right="0" w:firstLine="0"/>
              <w:jc w:val="center"/>
            </w:pPr>
            <w:r>
              <w:rPr>
                <w:rFonts w:ascii="仿宋" w:hAnsi="仿宋" w:eastAsia="仿宋"/>
                <w:b w:val="0"/>
                <w:i w:val="0"/>
                <w:color w:val="000000"/>
                <w:sz w:val="24"/>
              </w:rPr>
              <w:t>指导教师电话</w:t>
            </w:r>
          </w:p>
        </w:tc>
      </w:tr>
      <w:tr w14:paraId="000DB78D">
        <w:tblPrEx>
          <w:tblCellMar>
            <w:top w:w="0" w:type="dxa"/>
            <w:left w:w="108" w:type="dxa"/>
            <w:bottom w:w="0" w:type="dxa"/>
            <w:right w:w="108" w:type="dxa"/>
          </w:tblCellMar>
        </w:tblPrEx>
        <w:trPr>
          <w:trHeight w:val="588" w:hRule="exact"/>
        </w:trPr>
        <w:tc>
          <w:tcPr>
            <w:tcW w:w="496" w:type="dxa"/>
            <w:tcBorders>
              <w:top w:val="single" w:color="000000" w:sz="2" w:space="0"/>
              <w:left w:val="single" w:color="000000" w:sz="2" w:space="0"/>
              <w:bottom w:val="single" w:color="000000" w:sz="2" w:space="0"/>
              <w:right w:val="single" w:color="000000" w:sz="2" w:space="0"/>
            </w:tcBorders>
            <w:tcMar>
              <w:left w:w="0" w:type="dxa"/>
              <w:right w:w="0" w:type="dxa"/>
            </w:tcMar>
          </w:tcPr>
          <w:p w14:paraId="6A61A927">
            <w:pPr>
              <w:widowControl/>
              <w:autoSpaceDE w:val="0"/>
              <w:autoSpaceDN w:val="0"/>
              <w:spacing w:before="170" w:after="0" w:line="240" w:lineRule="exact"/>
              <w:ind w:left="104" w:right="0" w:firstLine="0"/>
              <w:jc w:val="left"/>
            </w:pPr>
            <w:r>
              <w:rPr>
                <w:rFonts w:ascii="仿宋" w:hAnsi="仿宋" w:eastAsia="仿宋"/>
                <w:b w:val="0"/>
                <w:i w:val="0"/>
                <w:color w:val="000000"/>
                <w:sz w:val="24"/>
              </w:rPr>
              <w:t>1</w:t>
            </w:r>
          </w:p>
        </w:tc>
        <w:tc>
          <w:tcPr>
            <w:tcW w:w="2140" w:type="dxa"/>
            <w:tcBorders>
              <w:top w:val="single" w:color="000000" w:sz="2" w:space="0"/>
              <w:left w:val="single" w:color="000000" w:sz="2" w:space="0"/>
              <w:bottom w:val="single" w:color="000000" w:sz="2" w:space="0"/>
              <w:right w:val="single" w:color="000000" w:sz="2" w:space="0"/>
            </w:tcBorders>
            <w:tcMar>
              <w:left w:w="0" w:type="dxa"/>
              <w:right w:w="0" w:type="dxa"/>
            </w:tcMar>
          </w:tcPr>
          <w:p w14:paraId="59618176"/>
        </w:tc>
        <w:tc>
          <w:tcPr>
            <w:tcW w:w="1262" w:type="dxa"/>
            <w:tcBorders>
              <w:top w:val="single" w:color="000000" w:sz="2" w:space="0"/>
              <w:left w:val="single" w:color="000000" w:sz="2" w:space="0"/>
              <w:bottom w:val="single" w:color="000000" w:sz="2" w:space="0"/>
              <w:right w:val="single" w:color="000000" w:sz="2" w:space="0"/>
            </w:tcBorders>
            <w:tcMar>
              <w:left w:w="0" w:type="dxa"/>
              <w:right w:w="0" w:type="dxa"/>
            </w:tcMar>
          </w:tcPr>
          <w:p w14:paraId="52AB0F7F"/>
        </w:tc>
        <w:tc>
          <w:tcPr>
            <w:tcW w:w="982" w:type="dxa"/>
            <w:tcBorders>
              <w:top w:val="single" w:color="000000" w:sz="2" w:space="0"/>
              <w:left w:val="single" w:color="000000" w:sz="2" w:space="0"/>
              <w:bottom w:val="single" w:color="000000" w:sz="2" w:space="0"/>
              <w:right w:val="single" w:color="000000" w:sz="2" w:space="0"/>
            </w:tcBorders>
            <w:tcMar>
              <w:left w:w="0" w:type="dxa"/>
              <w:right w:w="0" w:type="dxa"/>
            </w:tcMar>
          </w:tcPr>
          <w:p w14:paraId="3BD56753"/>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7E104005"/>
        </w:tc>
        <w:tc>
          <w:tcPr>
            <w:tcW w:w="1264" w:type="dxa"/>
            <w:tcBorders>
              <w:top w:val="single" w:color="000000" w:sz="2" w:space="0"/>
              <w:left w:val="single" w:color="000000" w:sz="2" w:space="0"/>
              <w:bottom w:val="single" w:color="000000" w:sz="2" w:space="0"/>
              <w:right w:val="single" w:color="000000" w:sz="2" w:space="0"/>
            </w:tcBorders>
            <w:tcMar>
              <w:left w:w="0" w:type="dxa"/>
              <w:right w:w="0" w:type="dxa"/>
            </w:tcMar>
          </w:tcPr>
          <w:p w14:paraId="16F7430F"/>
        </w:tc>
        <w:tc>
          <w:tcPr>
            <w:tcW w:w="1402" w:type="dxa"/>
            <w:tcBorders>
              <w:top w:val="single" w:color="000000" w:sz="2" w:space="0"/>
              <w:left w:val="single" w:color="000000" w:sz="2" w:space="0"/>
              <w:bottom w:val="single" w:color="000000" w:sz="2" w:space="0"/>
              <w:right w:val="single" w:color="000000" w:sz="2" w:space="0"/>
            </w:tcBorders>
            <w:tcMar>
              <w:left w:w="0" w:type="dxa"/>
              <w:right w:w="0" w:type="dxa"/>
            </w:tcMar>
          </w:tcPr>
          <w:p w14:paraId="517ECB41"/>
        </w:tc>
        <w:tc>
          <w:tcPr>
            <w:tcW w:w="1404" w:type="dxa"/>
            <w:tcBorders>
              <w:top w:val="single" w:color="000000" w:sz="2" w:space="0"/>
              <w:left w:val="single" w:color="000000" w:sz="2" w:space="0"/>
              <w:bottom w:val="single" w:color="000000" w:sz="2" w:space="0"/>
              <w:right w:val="single" w:color="000000" w:sz="2" w:space="0"/>
            </w:tcBorders>
            <w:tcMar>
              <w:left w:w="0" w:type="dxa"/>
              <w:right w:w="0" w:type="dxa"/>
            </w:tcMar>
          </w:tcPr>
          <w:p w14:paraId="04C93293"/>
        </w:tc>
        <w:tc>
          <w:tcPr>
            <w:tcW w:w="1406" w:type="dxa"/>
            <w:tcBorders>
              <w:top w:val="single" w:color="000000" w:sz="2" w:space="0"/>
              <w:left w:val="single" w:color="000000" w:sz="2" w:space="0"/>
              <w:bottom w:val="single" w:color="000000" w:sz="2" w:space="0"/>
              <w:right w:val="single" w:color="000000" w:sz="2" w:space="0"/>
            </w:tcBorders>
            <w:tcMar>
              <w:left w:w="0" w:type="dxa"/>
              <w:right w:w="0" w:type="dxa"/>
            </w:tcMar>
          </w:tcPr>
          <w:p w14:paraId="7AAADAA4"/>
        </w:tc>
      </w:tr>
      <w:tr w14:paraId="688EB772">
        <w:tblPrEx>
          <w:tblCellMar>
            <w:top w:w="0" w:type="dxa"/>
            <w:left w:w="108" w:type="dxa"/>
            <w:bottom w:w="0" w:type="dxa"/>
            <w:right w:w="108" w:type="dxa"/>
          </w:tblCellMar>
        </w:tblPrEx>
        <w:trPr>
          <w:trHeight w:val="588" w:hRule="exact"/>
        </w:trPr>
        <w:tc>
          <w:tcPr>
            <w:tcW w:w="496" w:type="dxa"/>
            <w:tcBorders>
              <w:top w:val="single" w:color="000000" w:sz="2" w:space="0"/>
              <w:left w:val="single" w:color="000000" w:sz="2" w:space="0"/>
              <w:bottom w:val="single" w:color="000000" w:sz="2" w:space="0"/>
              <w:right w:val="single" w:color="000000" w:sz="2" w:space="0"/>
            </w:tcBorders>
            <w:tcMar>
              <w:left w:w="0" w:type="dxa"/>
              <w:right w:w="0" w:type="dxa"/>
            </w:tcMar>
          </w:tcPr>
          <w:p w14:paraId="0F9C95FA">
            <w:pPr>
              <w:widowControl/>
              <w:autoSpaceDE w:val="0"/>
              <w:autoSpaceDN w:val="0"/>
              <w:spacing w:before="172" w:after="0" w:line="240" w:lineRule="exact"/>
              <w:ind w:left="104" w:right="0" w:firstLine="0"/>
              <w:jc w:val="left"/>
            </w:pPr>
            <w:r>
              <w:rPr>
                <w:rFonts w:ascii="仿宋" w:hAnsi="仿宋" w:eastAsia="仿宋"/>
                <w:b w:val="0"/>
                <w:i w:val="0"/>
                <w:color w:val="000000"/>
                <w:sz w:val="24"/>
              </w:rPr>
              <w:t>2</w:t>
            </w:r>
          </w:p>
        </w:tc>
        <w:tc>
          <w:tcPr>
            <w:tcW w:w="2140" w:type="dxa"/>
            <w:tcBorders>
              <w:top w:val="single" w:color="000000" w:sz="2" w:space="0"/>
              <w:left w:val="single" w:color="000000" w:sz="2" w:space="0"/>
              <w:bottom w:val="single" w:color="000000" w:sz="2" w:space="0"/>
              <w:right w:val="single" w:color="000000" w:sz="2" w:space="0"/>
            </w:tcBorders>
            <w:tcMar>
              <w:left w:w="0" w:type="dxa"/>
              <w:right w:w="0" w:type="dxa"/>
            </w:tcMar>
          </w:tcPr>
          <w:p w14:paraId="3AC617B6"/>
        </w:tc>
        <w:tc>
          <w:tcPr>
            <w:tcW w:w="1262" w:type="dxa"/>
            <w:tcBorders>
              <w:top w:val="single" w:color="000000" w:sz="2" w:space="0"/>
              <w:left w:val="single" w:color="000000" w:sz="2" w:space="0"/>
              <w:bottom w:val="single" w:color="000000" w:sz="2" w:space="0"/>
              <w:right w:val="single" w:color="000000" w:sz="2" w:space="0"/>
            </w:tcBorders>
            <w:tcMar>
              <w:left w:w="0" w:type="dxa"/>
              <w:right w:w="0" w:type="dxa"/>
            </w:tcMar>
          </w:tcPr>
          <w:p w14:paraId="46881C52"/>
        </w:tc>
        <w:tc>
          <w:tcPr>
            <w:tcW w:w="982" w:type="dxa"/>
            <w:tcBorders>
              <w:top w:val="single" w:color="000000" w:sz="2" w:space="0"/>
              <w:left w:val="single" w:color="000000" w:sz="2" w:space="0"/>
              <w:bottom w:val="single" w:color="000000" w:sz="2" w:space="0"/>
              <w:right w:val="single" w:color="000000" w:sz="2" w:space="0"/>
            </w:tcBorders>
            <w:tcMar>
              <w:left w:w="0" w:type="dxa"/>
              <w:right w:w="0" w:type="dxa"/>
            </w:tcMar>
          </w:tcPr>
          <w:p w14:paraId="2B46F788"/>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61E68877"/>
        </w:tc>
        <w:tc>
          <w:tcPr>
            <w:tcW w:w="12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2973696"/>
        </w:tc>
        <w:tc>
          <w:tcPr>
            <w:tcW w:w="1402" w:type="dxa"/>
            <w:tcBorders>
              <w:top w:val="single" w:color="000000" w:sz="2" w:space="0"/>
              <w:left w:val="single" w:color="000000" w:sz="2" w:space="0"/>
              <w:bottom w:val="single" w:color="000000" w:sz="2" w:space="0"/>
              <w:right w:val="single" w:color="000000" w:sz="2" w:space="0"/>
            </w:tcBorders>
            <w:tcMar>
              <w:left w:w="0" w:type="dxa"/>
              <w:right w:w="0" w:type="dxa"/>
            </w:tcMar>
          </w:tcPr>
          <w:p w14:paraId="74882681"/>
        </w:tc>
        <w:tc>
          <w:tcPr>
            <w:tcW w:w="1404" w:type="dxa"/>
            <w:tcBorders>
              <w:top w:val="single" w:color="000000" w:sz="2" w:space="0"/>
              <w:left w:val="single" w:color="000000" w:sz="2" w:space="0"/>
              <w:bottom w:val="single" w:color="000000" w:sz="2" w:space="0"/>
              <w:right w:val="single" w:color="000000" w:sz="2" w:space="0"/>
            </w:tcBorders>
            <w:tcMar>
              <w:left w:w="0" w:type="dxa"/>
              <w:right w:w="0" w:type="dxa"/>
            </w:tcMar>
          </w:tcPr>
          <w:p w14:paraId="23627EA5"/>
        </w:tc>
        <w:tc>
          <w:tcPr>
            <w:tcW w:w="1406" w:type="dxa"/>
            <w:tcBorders>
              <w:top w:val="single" w:color="000000" w:sz="2" w:space="0"/>
              <w:left w:val="single" w:color="000000" w:sz="2" w:space="0"/>
              <w:bottom w:val="single" w:color="000000" w:sz="2" w:space="0"/>
              <w:right w:val="single" w:color="000000" w:sz="2" w:space="0"/>
            </w:tcBorders>
            <w:tcMar>
              <w:left w:w="0" w:type="dxa"/>
              <w:right w:w="0" w:type="dxa"/>
            </w:tcMar>
          </w:tcPr>
          <w:p w14:paraId="3A4E21C4"/>
        </w:tc>
      </w:tr>
      <w:tr w14:paraId="529248DC">
        <w:tblPrEx>
          <w:tblCellMar>
            <w:top w:w="0" w:type="dxa"/>
            <w:left w:w="108" w:type="dxa"/>
            <w:bottom w:w="0" w:type="dxa"/>
            <w:right w:w="108" w:type="dxa"/>
          </w:tblCellMar>
        </w:tblPrEx>
        <w:trPr>
          <w:trHeight w:val="590" w:hRule="exact"/>
        </w:trPr>
        <w:tc>
          <w:tcPr>
            <w:tcW w:w="496" w:type="dxa"/>
            <w:tcBorders>
              <w:top w:val="single" w:color="000000" w:sz="2" w:space="0"/>
              <w:left w:val="single" w:color="000000" w:sz="2" w:space="0"/>
              <w:bottom w:val="single" w:color="000000" w:sz="2" w:space="0"/>
              <w:right w:val="single" w:color="000000" w:sz="2" w:space="0"/>
            </w:tcBorders>
            <w:tcMar>
              <w:left w:w="0" w:type="dxa"/>
              <w:right w:w="0" w:type="dxa"/>
            </w:tcMar>
          </w:tcPr>
          <w:p w14:paraId="53E478E5">
            <w:pPr>
              <w:widowControl/>
              <w:autoSpaceDE w:val="0"/>
              <w:autoSpaceDN w:val="0"/>
              <w:spacing w:before="172" w:after="0" w:line="240" w:lineRule="exact"/>
              <w:ind w:left="104" w:right="0" w:firstLine="0"/>
              <w:jc w:val="left"/>
            </w:pPr>
            <w:r>
              <w:rPr>
                <w:rFonts w:ascii="仿宋" w:hAnsi="仿宋" w:eastAsia="仿宋"/>
                <w:b w:val="0"/>
                <w:i w:val="0"/>
                <w:color w:val="000000"/>
                <w:sz w:val="24"/>
              </w:rPr>
              <w:t>3</w:t>
            </w:r>
          </w:p>
        </w:tc>
        <w:tc>
          <w:tcPr>
            <w:tcW w:w="2140" w:type="dxa"/>
            <w:tcBorders>
              <w:top w:val="single" w:color="000000" w:sz="2" w:space="0"/>
              <w:left w:val="single" w:color="000000" w:sz="2" w:space="0"/>
              <w:bottom w:val="single" w:color="000000" w:sz="2" w:space="0"/>
              <w:right w:val="single" w:color="000000" w:sz="2" w:space="0"/>
            </w:tcBorders>
            <w:tcMar>
              <w:left w:w="0" w:type="dxa"/>
              <w:right w:w="0" w:type="dxa"/>
            </w:tcMar>
          </w:tcPr>
          <w:p w14:paraId="63507614"/>
        </w:tc>
        <w:tc>
          <w:tcPr>
            <w:tcW w:w="1262" w:type="dxa"/>
            <w:tcBorders>
              <w:top w:val="single" w:color="000000" w:sz="2" w:space="0"/>
              <w:left w:val="single" w:color="000000" w:sz="2" w:space="0"/>
              <w:bottom w:val="single" w:color="000000" w:sz="2" w:space="0"/>
              <w:right w:val="single" w:color="000000" w:sz="2" w:space="0"/>
            </w:tcBorders>
            <w:tcMar>
              <w:left w:w="0" w:type="dxa"/>
              <w:right w:w="0" w:type="dxa"/>
            </w:tcMar>
          </w:tcPr>
          <w:p w14:paraId="0AFC59A8"/>
        </w:tc>
        <w:tc>
          <w:tcPr>
            <w:tcW w:w="982" w:type="dxa"/>
            <w:tcBorders>
              <w:top w:val="single" w:color="000000" w:sz="2" w:space="0"/>
              <w:left w:val="single" w:color="000000" w:sz="2" w:space="0"/>
              <w:bottom w:val="single" w:color="000000" w:sz="2" w:space="0"/>
              <w:right w:val="single" w:color="000000" w:sz="2" w:space="0"/>
            </w:tcBorders>
            <w:tcMar>
              <w:left w:w="0" w:type="dxa"/>
              <w:right w:w="0" w:type="dxa"/>
            </w:tcMar>
          </w:tcPr>
          <w:p w14:paraId="4087A44E"/>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1EDE3E5F"/>
        </w:tc>
        <w:tc>
          <w:tcPr>
            <w:tcW w:w="1264" w:type="dxa"/>
            <w:tcBorders>
              <w:top w:val="single" w:color="000000" w:sz="2" w:space="0"/>
              <w:left w:val="single" w:color="000000" w:sz="2" w:space="0"/>
              <w:bottom w:val="single" w:color="000000" w:sz="2" w:space="0"/>
              <w:right w:val="single" w:color="000000" w:sz="2" w:space="0"/>
            </w:tcBorders>
            <w:tcMar>
              <w:left w:w="0" w:type="dxa"/>
              <w:right w:w="0" w:type="dxa"/>
            </w:tcMar>
          </w:tcPr>
          <w:p w14:paraId="67FCB1C4"/>
        </w:tc>
        <w:tc>
          <w:tcPr>
            <w:tcW w:w="1402" w:type="dxa"/>
            <w:tcBorders>
              <w:top w:val="single" w:color="000000" w:sz="2" w:space="0"/>
              <w:left w:val="single" w:color="000000" w:sz="2" w:space="0"/>
              <w:bottom w:val="single" w:color="000000" w:sz="2" w:space="0"/>
              <w:right w:val="single" w:color="000000" w:sz="2" w:space="0"/>
            </w:tcBorders>
            <w:tcMar>
              <w:left w:w="0" w:type="dxa"/>
              <w:right w:w="0" w:type="dxa"/>
            </w:tcMar>
          </w:tcPr>
          <w:p w14:paraId="500658C2"/>
        </w:tc>
        <w:tc>
          <w:tcPr>
            <w:tcW w:w="1404" w:type="dxa"/>
            <w:tcBorders>
              <w:top w:val="single" w:color="000000" w:sz="2" w:space="0"/>
              <w:left w:val="single" w:color="000000" w:sz="2" w:space="0"/>
              <w:bottom w:val="single" w:color="000000" w:sz="2" w:space="0"/>
              <w:right w:val="single" w:color="000000" w:sz="2" w:space="0"/>
            </w:tcBorders>
            <w:tcMar>
              <w:left w:w="0" w:type="dxa"/>
              <w:right w:w="0" w:type="dxa"/>
            </w:tcMar>
          </w:tcPr>
          <w:p w14:paraId="5A13A562"/>
        </w:tc>
        <w:tc>
          <w:tcPr>
            <w:tcW w:w="1406" w:type="dxa"/>
            <w:tcBorders>
              <w:top w:val="single" w:color="000000" w:sz="2" w:space="0"/>
              <w:left w:val="single" w:color="000000" w:sz="2" w:space="0"/>
              <w:bottom w:val="single" w:color="000000" w:sz="2" w:space="0"/>
              <w:right w:val="single" w:color="000000" w:sz="2" w:space="0"/>
            </w:tcBorders>
            <w:tcMar>
              <w:left w:w="0" w:type="dxa"/>
              <w:right w:w="0" w:type="dxa"/>
            </w:tcMar>
          </w:tcPr>
          <w:p w14:paraId="216253DE"/>
        </w:tc>
      </w:tr>
      <w:tr w14:paraId="39C6310E">
        <w:tblPrEx>
          <w:tblCellMar>
            <w:top w:w="0" w:type="dxa"/>
            <w:left w:w="108" w:type="dxa"/>
            <w:bottom w:w="0" w:type="dxa"/>
            <w:right w:w="108" w:type="dxa"/>
          </w:tblCellMar>
        </w:tblPrEx>
        <w:trPr>
          <w:trHeight w:val="588" w:hRule="exact"/>
        </w:trPr>
        <w:tc>
          <w:tcPr>
            <w:tcW w:w="496" w:type="dxa"/>
            <w:tcBorders>
              <w:top w:val="single" w:color="000000" w:sz="2" w:space="0"/>
              <w:left w:val="single" w:color="000000" w:sz="2" w:space="0"/>
              <w:bottom w:val="single" w:color="000000" w:sz="2" w:space="0"/>
              <w:right w:val="single" w:color="000000" w:sz="2" w:space="0"/>
            </w:tcBorders>
            <w:tcMar>
              <w:left w:w="0" w:type="dxa"/>
              <w:right w:w="0" w:type="dxa"/>
            </w:tcMar>
          </w:tcPr>
          <w:p w14:paraId="6B77A8E8">
            <w:pPr>
              <w:widowControl/>
              <w:autoSpaceDE w:val="0"/>
              <w:autoSpaceDN w:val="0"/>
              <w:spacing w:before="170" w:after="0" w:line="240" w:lineRule="exact"/>
              <w:ind w:left="104" w:right="0" w:firstLine="0"/>
              <w:jc w:val="left"/>
            </w:pPr>
            <w:r>
              <w:rPr>
                <w:rFonts w:ascii="仿宋" w:hAnsi="仿宋" w:eastAsia="仿宋"/>
                <w:b w:val="0"/>
                <w:i w:val="0"/>
                <w:color w:val="000000"/>
                <w:sz w:val="24"/>
              </w:rPr>
              <w:t>4</w:t>
            </w:r>
          </w:p>
        </w:tc>
        <w:tc>
          <w:tcPr>
            <w:tcW w:w="2140" w:type="dxa"/>
            <w:tcBorders>
              <w:top w:val="single" w:color="000000" w:sz="2" w:space="0"/>
              <w:left w:val="single" w:color="000000" w:sz="2" w:space="0"/>
              <w:bottom w:val="single" w:color="000000" w:sz="2" w:space="0"/>
              <w:right w:val="single" w:color="000000" w:sz="2" w:space="0"/>
            </w:tcBorders>
            <w:tcMar>
              <w:left w:w="0" w:type="dxa"/>
              <w:right w:w="0" w:type="dxa"/>
            </w:tcMar>
          </w:tcPr>
          <w:p w14:paraId="14FBDE64"/>
        </w:tc>
        <w:tc>
          <w:tcPr>
            <w:tcW w:w="1262" w:type="dxa"/>
            <w:tcBorders>
              <w:top w:val="single" w:color="000000" w:sz="2" w:space="0"/>
              <w:left w:val="single" w:color="000000" w:sz="2" w:space="0"/>
              <w:bottom w:val="single" w:color="000000" w:sz="2" w:space="0"/>
              <w:right w:val="single" w:color="000000" w:sz="2" w:space="0"/>
            </w:tcBorders>
            <w:tcMar>
              <w:left w:w="0" w:type="dxa"/>
              <w:right w:w="0" w:type="dxa"/>
            </w:tcMar>
          </w:tcPr>
          <w:p w14:paraId="259A2CEA"/>
        </w:tc>
        <w:tc>
          <w:tcPr>
            <w:tcW w:w="982" w:type="dxa"/>
            <w:tcBorders>
              <w:top w:val="single" w:color="000000" w:sz="2" w:space="0"/>
              <w:left w:val="single" w:color="000000" w:sz="2" w:space="0"/>
              <w:bottom w:val="single" w:color="000000" w:sz="2" w:space="0"/>
              <w:right w:val="single" w:color="000000" w:sz="2" w:space="0"/>
            </w:tcBorders>
            <w:tcMar>
              <w:left w:w="0" w:type="dxa"/>
              <w:right w:w="0" w:type="dxa"/>
            </w:tcMar>
          </w:tcPr>
          <w:p w14:paraId="33B0C989"/>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7D5A3982"/>
        </w:tc>
        <w:tc>
          <w:tcPr>
            <w:tcW w:w="1264" w:type="dxa"/>
            <w:tcBorders>
              <w:top w:val="single" w:color="000000" w:sz="2" w:space="0"/>
              <w:left w:val="single" w:color="000000" w:sz="2" w:space="0"/>
              <w:bottom w:val="single" w:color="000000" w:sz="2" w:space="0"/>
              <w:right w:val="single" w:color="000000" w:sz="2" w:space="0"/>
            </w:tcBorders>
            <w:tcMar>
              <w:left w:w="0" w:type="dxa"/>
              <w:right w:w="0" w:type="dxa"/>
            </w:tcMar>
          </w:tcPr>
          <w:p w14:paraId="40DAB709"/>
        </w:tc>
        <w:tc>
          <w:tcPr>
            <w:tcW w:w="1402" w:type="dxa"/>
            <w:tcBorders>
              <w:top w:val="single" w:color="000000" w:sz="2" w:space="0"/>
              <w:left w:val="single" w:color="000000" w:sz="2" w:space="0"/>
              <w:bottom w:val="single" w:color="000000" w:sz="2" w:space="0"/>
              <w:right w:val="single" w:color="000000" w:sz="2" w:space="0"/>
            </w:tcBorders>
            <w:tcMar>
              <w:left w:w="0" w:type="dxa"/>
              <w:right w:w="0" w:type="dxa"/>
            </w:tcMar>
          </w:tcPr>
          <w:p w14:paraId="45458B06"/>
        </w:tc>
        <w:tc>
          <w:tcPr>
            <w:tcW w:w="1404" w:type="dxa"/>
            <w:tcBorders>
              <w:top w:val="single" w:color="000000" w:sz="2" w:space="0"/>
              <w:left w:val="single" w:color="000000" w:sz="2" w:space="0"/>
              <w:bottom w:val="single" w:color="000000" w:sz="2" w:space="0"/>
              <w:right w:val="single" w:color="000000" w:sz="2" w:space="0"/>
            </w:tcBorders>
            <w:tcMar>
              <w:left w:w="0" w:type="dxa"/>
              <w:right w:w="0" w:type="dxa"/>
            </w:tcMar>
          </w:tcPr>
          <w:p w14:paraId="3344BB00"/>
        </w:tc>
        <w:tc>
          <w:tcPr>
            <w:tcW w:w="1406" w:type="dxa"/>
            <w:tcBorders>
              <w:top w:val="single" w:color="000000" w:sz="2" w:space="0"/>
              <w:left w:val="single" w:color="000000" w:sz="2" w:space="0"/>
              <w:bottom w:val="single" w:color="000000" w:sz="2" w:space="0"/>
              <w:right w:val="single" w:color="000000" w:sz="2" w:space="0"/>
            </w:tcBorders>
            <w:tcMar>
              <w:left w:w="0" w:type="dxa"/>
              <w:right w:w="0" w:type="dxa"/>
            </w:tcMar>
          </w:tcPr>
          <w:p w14:paraId="61D27069"/>
        </w:tc>
      </w:tr>
      <w:tr w14:paraId="32C75C04">
        <w:tblPrEx>
          <w:tblCellMar>
            <w:top w:w="0" w:type="dxa"/>
            <w:left w:w="108" w:type="dxa"/>
            <w:bottom w:w="0" w:type="dxa"/>
            <w:right w:w="108" w:type="dxa"/>
          </w:tblCellMar>
        </w:tblPrEx>
        <w:trPr>
          <w:trHeight w:val="588" w:hRule="exact"/>
        </w:trPr>
        <w:tc>
          <w:tcPr>
            <w:tcW w:w="496" w:type="dxa"/>
            <w:tcBorders>
              <w:top w:val="single" w:color="000000" w:sz="2" w:space="0"/>
              <w:left w:val="single" w:color="000000" w:sz="2" w:space="0"/>
              <w:bottom w:val="single" w:color="000000" w:sz="2" w:space="0"/>
              <w:right w:val="single" w:color="000000" w:sz="2" w:space="0"/>
            </w:tcBorders>
            <w:tcMar>
              <w:left w:w="0" w:type="dxa"/>
              <w:right w:w="0" w:type="dxa"/>
            </w:tcMar>
          </w:tcPr>
          <w:p w14:paraId="3F728553">
            <w:pPr>
              <w:widowControl/>
              <w:autoSpaceDE w:val="0"/>
              <w:autoSpaceDN w:val="0"/>
              <w:spacing w:before="172" w:after="0" w:line="240" w:lineRule="exact"/>
              <w:ind w:left="104" w:right="0" w:firstLine="0"/>
              <w:jc w:val="left"/>
            </w:pPr>
            <w:r>
              <w:rPr>
                <w:rFonts w:ascii="仿宋" w:hAnsi="仿宋" w:eastAsia="仿宋"/>
                <w:b w:val="0"/>
                <w:i w:val="0"/>
                <w:color w:val="000000"/>
                <w:sz w:val="24"/>
              </w:rPr>
              <w:t>5</w:t>
            </w:r>
          </w:p>
        </w:tc>
        <w:tc>
          <w:tcPr>
            <w:tcW w:w="2140" w:type="dxa"/>
            <w:tcBorders>
              <w:top w:val="single" w:color="000000" w:sz="2" w:space="0"/>
              <w:left w:val="single" w:color="000000" w:sz="2" w:space="0"/>
              <w:bottom w:val="single" w:color="000000" w:sz="2" w:space="0"/>
              <w:right w:val="single" w:color="000000" w:sz="2" w:space="0"/>
            </w:tcBorders>
            <w:tcMar>
              <w:left w:w="0" w:type="dxa"/>
              <w:right w:w="0" w:type="dxa"/>
            </w:tcMar>
          </w:tcPr>
          <w:p w14:paraId="38F21678"/>
        </w:tc>
        <w:tc>
          <w:tcPr>
            <w:tcW w:w="1262" w:type="dxa"/>
            <w:tcBorders>
              <w:top w:val="single" w:color="000000" w:sz="2" w:space="0"/>
              <w:left w:val="single" w:color="000000" w:sz="2" w:space="0"/>
              <w:bottom w:val="single" w:color="000000" w:sz="2" w:space="0"/>
              <w:right w:val="single" w:color="000000" w:sz="2" w:space="0"/>
            </w:tcBorders>
            <w:tcMar>
              <w:left w:w="0" w:type="dxa"/>
              <w:right w:w="0" w:type="dxa"/>
            </w:tcMar>
          </w:tcPr>
          <w:p w14:paraId="5E3C5F7A"/>
        </w:tc>
        <w:tc>
          <w:tcPr>
            <w:tcW w:w="982" w:type="dxa"/>
            <w:tcBorders>
              <w:top w:val="single" w:color="000000" w:sz="2" w:space="0"/>
              <w:left w:val="single" w:color="000000" w:sz="2" w:space="0"/>
              <w:bottom w:val="single" w:color="000000" w:sz="2" w:space="0"/>
              <w:right w:val="single" w:color="000000" w:sz="2" w:space="0"/>
            </w:tcBorders>
            <w:tcMar>
              <w:left w:w="0" w:type="dxa"/>
              <w:right w:w="0" w:type="dxa"/>
            </w:tcMar>
          </w:tcPr>
          <w:p w14:paraId="56BA686A"/>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0770646D"/>
        </w:tc>
        <w:tc>
          <w:tcPr>
            <w:tcW w:w="1264" w:type="dxa"/>
            <w:tcBorders>
              <w:top w:val="single" w:color="000000" w:sz="2" w:space="0"/>
              <w:left w:val="single" w:color="000000" w:sz="2" w:space="0"/>
              <w:bottom w:val="single" w:color="000000" w:sz="2" w:space="0"/>
              <w:right w:val="single" w:color="000000" w:sz="2" w:space="0"/>
            </w:tcBorders>
            <w:tcMar>
              <w:left w:w="0" w:type="dxa"/>
              <w:right w:w="0" w:type="dxa"/>
            </w:tcMar>
          </w:tcPr>
          <w:p w14:paraId="3B70652A"/>
        </w:tc>
        <w:tc>
          <w:tcPr>
            <w:tcW w:w="1402" w:type="dxa"/>
            <w:tcBorders>
              <w:top w:val="single" w:color="000000" w:sz="2" w:space="0"/>
              <w:left w:val="single" w:color="000000" w:sz="2" w:space="0"/>
              <w:bottom w:val="single" w:color="000000" w:sz="2" w:space="0"/>
              <w:right w:val="single" w:color="000000" w:sz="2" w:space="0"/>
            </w:tcBorders>
            <w:tcMar>
              <w:left w:w="0" w:type="dxa"/>
              <w:right w:w="0" w:type="dxa"/>
            </w:tcMar>
          </w:tcPr>
          <w:p w14:paraId="32027A0E"/>
        </w:tc>
        <w:tc>
          <w:tcPr>
            <w:tcW w:w="1404" w:type="dxa"/>
            <w:tcBorders>
              <w:top w:val="single" w:color="000000" w:sz="2" w:space="0"/>
              <w:left w:val="single" w:color="000000" w:sz="2" w:space="0"/>
              <w:bottom w:val="single" w:color="000000" w:sz="2" w:space="0"/>
              <w:right w:val="single" w:color="000000" w:sz="2" w:space="0"/>
            </w:tcBorders>
            <w:tcMar>
              <w:left w:w="0" w:type="dxa"/>
              <w:right w:w="0" w:type="dxa"/>
            </w:tcMar>
          </w:tcPr>
          <w:p w14:paraId="29007E08"/>
        </w:tc>
        <w:tc>
          <w:tcPr>
            <w:tcW w:w="1406" w:type="dxa"/>
            <w:tcBorders>
              <w:top w:val="single" w:color="000000" w:sz="2" w:space="0"/>
              <w:left w:val="single" w:color="000000" w:sz="2" w:space="0"/>
              <w:bottom w:val="single" w:color="000000" w:sz="2" w:space="0"/>
              <w:right w:val="single" w:color="000000" w:sz="2" w:space="0"/>
            </w:tcBorders>
            <w:tcMar>
              <w:left w:w="0" w:type="dxa"/>
              <w:right w:w="0" w:type="dxa"/>
            </w:tcMar>
          </w:tcPr>
          <w:p w14:paraId="68DF45F3"/>
        </w:tc>
      </w:tr>
      <w:tr w14:paraId="606D9735">
        <w:tblPrEx>
          <w:tblCellMar>
            <w:top w:w="0" w:type="dxa"/>
            <w:left w:w="108" w:type="dxa"/>
            <w:bottom w:w="0" w:type="dxa"/>
            <w:right w:w="108" w:type="dxa"/>
          </w:tblCellMar>
        </w:tblPrEx>
        <w:trPr>
          <w:trHeight w:val="590" w:hRule="exact"/>
        </w:trPr>
        <w:tc>
          <w:tcPr>
            <w:tcW w:w="496" w:type="dxa"/>
            <w:tcBorders>
              <w:top w:val="single" w:color="000000" w:sz="2" w:space="0"/>
              <w:left w:val="single" w:color="000000" w:sz="2" w:space="0"/>
              <w:bottom w:val="single" w:color="000000" w:sz="2" w:space="0"/>
              <w:right w:val="single" w:color="000000" w:sz="2" w:space="0"/>
            </w:tcBorders>
            <w:tcMar>
              <w:left w:w="0" w:type="dxa"/>
              <w:right w:w="0" w:type="dxa"/>
            </w:tcMar>
          </w:tcPr>
          <w:p w14:paraId="41CE28F7">
            <w:pPr>
              <w:widowControl/>
              <w:autoSpaceDE w:val="0"/>
              <w:autoSpaceDN w:val="0"/>
              <w:spacing w:before="172" w:after="0" w:line="240" w:lineRule="exact"/>
              <w:ind w:left="104" w:right="0" w:firstLine="0"/>
              <w:jc w:val="left"/>
            </w:pPr>
            <w:r>
              <w:rPr>
                <w:rFonts w:ascii="仿宋" w:hAnsi="仿宋" w:eastAsia="仿宋"/>
                <w:b w:val="0"/>
                <w:i w:val="0"/>
                <w:color w:val="000000"/>
                <w:sz w:val="24"/>
              </w:rPr>
              <w:t>6</w:t>
            </w:r>
          </w:p>
        </w:tc>
        <w:tc>
          <w:tcPr>
            <w:tcW w:w="2140" w:type="dxa"/>
            <w:tcBorders>
              <w:top w:val="single" w:color="000000" w:sz="2" w:space="0"/>
              <w:left w:val="single" w:color="000000" w:sz="2" w:space="0"/>
              <w:bottom w:val="single" w:color="000000" w:sz="2" w:space="0"/>
              <w:right w:val="single" w:color="000000" w:sz="2" w:space="0"/>
            </w:tcBorders>
            <w:tcMar>
              <w:left w:w="0" w:type="dxa"/>
              <w:right w:w="0" w:type="dxa"/>
            </w:tcMar>
          </w:tcPr>
          <w:p w14:paraId="70EA7B88"/>
        </w:tc>
        <w:tc>
          <w:tcPr>
            <w:tcW w:w="1262" w:type="dxa"/>
            <w:tcBorders>
              <w:top w:val="single" w:color="000000" w:sz="2" w:space="0"/>
              <w:left w:val="single" w:color="000000" w:sz="2" w:space="0"/>
              <w:bottom w:val="single" w:color="000000" w:sz="2" w:space="0"/>
              <w:right w:val="single" w:color="000000" w:sz="2" w:space="0"/>
            </w:tcBorders>
            <w:tcMar>
              <w:left w:w="0" w:type="dxa"/>
              <w:right w:w="0" w:type="dxa"/>
            </w:tcMar>
          </w:tcPr>
          <w:p w14:paraId="6187F24F"/>
        </w:tc>
        <w:tc>
          <w:tcPr>
            <w:tcW w:w="982" w:type="dxa"/>
            <w:tcBorders>
              <w:top w:val="single" w:color="000000" w:sz="2" w:space="0"/>
              <w:left w:val="single" w:color="000000" w:sz="2" w:space="0"/>
              <w:bottom w:val="single" w:color="000000" w:sz="2" w:space="0"/>
              <w:right w:val="single" w:color="000000" w:sz="2" w:space="0"/>
            </w:tcBorders>
            <w:tcMar>
              <w:left w:w="0" w:type="dxa"/>
              <w:right w:w="0" w:type="dxa"/>
            </w:tcMar>
          </w:tcPr>
          <w:p w14:paraId="7324C90B"/>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5DD62EE2"/>
        </w:tc>
        <w:tc>
          <w:tcPr>
            <w:tcW w:w="1264" w:type="dxa"/>
            <w:tcBorders>
              <w:top w:val="single" w:color="000000" w:sz="2" w:space="0"/>
              <w:left w:val="single" w:color="000000" w:sz="2" w:space="0"/>
              <w:bottom w:val="single" w:color="000000" w:sz="2" w:space="0"/>
              <w:right w:val="single" w:color="000000" w:sz="2" w:space="0"/>
            </w:tcBorders>
            <w:tcMar>
              <w:left w:w="0" w:type="dxa"/>
              <w:right w:w="0" w:type="dxa"/>
            </w:tcMar>
          </w:tcPr>
          <w:p w14:paraId="58DBC9FC"/>
        </w:tc>
        <w:tc>
          <w:tcPr>
            <w:tcW w:w="1402" w:type="dxa"/>
            <w:tcBorders>
              <w:top w:val="single" w:color="000000" w:sz="2" w:space="0"/>
              <w:left w:val="single" w:color="000000" w:sz="2" w:space="0"/>
              <w:bottom w:val="single" w:color="000000" w:sz="2" w:space="0"/>
              <w:right w:val="single" w:color="000000" w:sz="2" w:space="0"/>
            </w:tcBorders>
            <w:tcMar>
              <w:left w:w="0" w:type="dxa"/>
              <w:right w:w="0" w:type="dxa"/>
            </w:tcMar>
          </w:tcPr>
          <w:p w14:paraId="2AA644CD"/>
        </w:tc>
        <w:tc>
          <w:tcPr>
            <w:tcW w:w="1404" w:type="dxa"/>
            <w:tcBorders>
              <w:top w:val="single" w:color="000000" w:sz="2" w:space="0"/>
              <w:left w:val="single" w:color="000000" w:sz="2" w:space="0"/>
              <w:bottom w:val="single" w:color="000000" w:sz="2" w:space="0"/>
              <w:right w:val="single" w:color="000000" w:sz="2" w:space="0"/>
            </w:tcBorders>
            <w:tcMar>
              <w:left w:w="0" w:type="dxa"/>
              <w:right w:w="0" w:type="dxa"/>
            </w:tcMar>
          </w:tcPr>
          <w:p w14:paraId="6ACBB0C7"/>
        </w:tc>
        <w:tc>
          <w:tcPr>
            <w:tcW w:w="1406" w:type="dxa"/>
            <w:tcBorders>
              <w:top w:val="single" w:color="000000" w:sz="2" w:space="0"/>
              <w:left w:val="single" w:color="000000" w:sz="2" w:space="0"/>
              <w:bottom w:val="single" w:color="000000" w:sz="2" w:space="0"/>
              <w:right w:val="single" w:color="000000" w:sz="2" w:space="0"/>
            </w:tcBorders>
            <w:tcMar>
              <w:left w:w="0" w:type="dxa"/>
              <w:right w:w="0" w:type="dxa"/>
            </w:tcMar>
          </w:tcPr>
          <w:p w14:paraId="5F1DC7D4"/>
        </w:tc>
      </w:tr>
      <w:tr w14:paraId="7EDDB73F">
        <w:tblPrEx>
          <w:tblCellMar>
            <w:top w:w="0" w:type="dxa"/>
            <w:left w:w="108" w:type="dxa"/>
            <w:bottom w:w="0" w:type="dxa"/>
            <w:right w:w="108" w:type="dxa"/>
          </w:tblCellMar>
        </w:tblPrEx>
        <w:trPr>
          <w:trHeight w:val="590" w:hRule="exact"/>
        </w:trPr>
        <w:tc>
          <w:tcPr>
            <w:tcW w:w="496" w:type="dxa"/>
            <w:tcBorders>
              <w:top w:val="single" w:color="000000" w:sz="2" w:space="0"/>
              <w:left w:val="single" w:color="000000" w:sz="2" w:space="0"/>
              <w:bottom w:val="single" w:color="000000" w:sz="2" w:space="0"/>
              <w:right w:val="single" w:color="000000" w:sz="2" w:space="0"/>
            </w:tcBorders>
            <w:tcMar>
              <w:left w:w="0" w:type="dxa"/>
              <w:right w:w="0" w:type="dxa"/>
            </w:tcMar>
          </w:tcPr>
          <w:p w14:paraId="0A734355">
            <w:pPr>
              <w:widowControl/>
              <w:autoSpaceDE w:val="0"/>
              <w:autoSpaceDN w:val="0"/>
              <w:spacing w:before="172" w:after="0" w:line="240" w:lineRule="exact"/>
              <w:ind w:left="104" w:right="0" w:firstLine="0"/>
              <w:jc w:val="left"/>
            </w:pPr>
            <w:r>
              <w:rPr>
                <w:rFonts w:ascii="仿宋" w:hAnsi="仿宋" w:eastAsia="仿宋"/>
                <w:b w:val="0"/>
                <w:i w:val="0"/>
                <w:color w:val="000000"/>
                <w:sz w:val="24"/>
              </w:rPr>
              <w:t>7</w:t>
            </w:r>
          </w:p>
        </w:tc>
        <w:tc>
          <w:tcPr>
            <w:tcW w:w="2140" w:type="dxa"/>
            <w:tcBorders>
              <w:top w:val="single" w:color="000000" w:sz="2" w:space="0"/>
              <w:left w:val="single" w:color="000000" w:sz="2" w:space="0"/>
              <w:bottom w:val="single" w:color="000000" w:sz="2" w:space="0"/>
              <w:right w:val="single" w:color="000000" w:sz="2" w:space="0"/>
            </w:tcBorders>
            <w:tcMar>
              <w:left w:w="0" w:type="dxa"/>
              <w:right w:w="0" w:type="dxa"/>
            </w:tcMar>
          </w:tcPr>
          <w:p w14:paraId="28B59735"/>
        </w:tc>
        <w:tc>
          <w:tcPr>
            <w:tcW w:w="1262" w:type="dxa"/>
            <w:tcBorders>
              <w:top w:val="single" w:color="000000" w:sz="2" w:space="0"/>
              <w:left w:val="single" w:color="000000" w:sz="2" w:space="0"/>
              <w:bottom w:val="single" w:color="000000" w:sz="2" w:space="0"/>
              <w:right w:val="single" w:color="000000" w:sz="2" w:space="0"/>
            </w:tcBorders>
            <w:tcMar>
              <w:left w:w="0" w:type="dxa"/>
              <w:right w:w="0" w:type="dxa"/>
            </w:tcMar>
          </w:tcPr>
          <w:p w14:paraId="084E4A5F"/>
        </w:tc>
        <w:tc>
          <w:tcPr>
            <w:tcW w:w="982" w:type="dxa"/>
            <w:tcBorders>
              <w:top w:val="single" w:color="000000" w:sz="2" w:space="0"/>
              <w:left w:val="single" w:color="000000" w:sz="2" w:space="0"/>
              <w:bottom w:val="single" w:color="000000" w:sz="2" w:space="0"/>
              <w:right w:val="single" w:color="000000" w:sz="2" w:space="0"/>
            </w:tcBorders>
            <w:tcMar>
              <w:left w:w="0" w:type="dxa"/>
              <w:right w:w="0" w:type="dxa"/>
            </w:tcMar>
          </w:tcPr>
          <w:p w14:paraId="4C9B258F"/>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448F9FCC"/>
        </w:tc>
        <w:tc>
          <w:tcPr>
            <w:tcW w:w="1264" w:type="dxa"/>
            <w:tcBorders>
              <w:top w:val="single" w:color="000000" w:sz="2" w:space="0"/>
              <w:left w:val="single" w:color="000000" w:sz="2" w:space="0"/>
              <w:bottom w:val="single" w:color="000000" w:sz="2" w:space="0"/>
              <w:right w:val="single" w:color="000000" w:sz="2" w:space="0"/>
            </w:tcBorders>
            <w:tcMar>
              <w:left w:w="0" w:type="dxa"/>
              <w:right w:w="0" w:type="dxa"/>
            </w:tcMar>
          </w:tcPr>
          <w:p w14:paraId="2A5D13E5"/>
        </w:tc>
        <w:tc>
          <w:tcPr>
            <w:tcW w:w="1402" w:type="dxa"/>
            <w:tcBorders>
              <w:top w:val="single" w:color="000000" w:sz="2" w:space="0"/>
              <w:left w:val="single" w:color="000000" w:sz="2" w:space="0"/>
              <w:bottom w:val="single" w:color="000000" w:sz="2" w:space="0"/>
              <w:right w:val="single" w:color="000000" w:sz="2" w:space="0"/>
            </w:tcBorders>
            <w:tcMar>
              <w:left w:w="0" w:type="dxa"/>
              <w:right w:w="0" w:type="dxa"/>
            </w:tcMar>
          </w:tcPr>
          <w:p w14:paraId="48C0209D"/>
        </w:tc>
        <w:tc>
          <w:tcPr>
            <w:tcW w:w="1404" w:type="dxa"/>
            <w:tcBorders>
              <w:top w:val="single" w:color="000000" w:sz="2" w:space="0"/>
              <w:left w:val="single" w:color="000000" w:sz="2" w:space="0"/>
              <w:bottom w:val="single" w:color="000000" w:sz="2" w:space="0"/>
              <w:right w:val="single" w:color="000000" w:sz="2" w:space="0"/>
            </w:tcBorders>
            <w:tcMar>
              <w:left w:w="0" w:type="dxa"/>
              <w:right w:w="0" w:type="dxa"/>
            </w:tcMar>
          </w:tcPr>
          <w:p w14:paraId="0D800036"/>
        </w:tc>
        <w:tc>
          <w:tcPr>
            <w:tcW w:w="1406" w:type="dxa"/>
            <w:tcBorders>
              <w:top w:val="single" w:color="000000" w:sz="2" w:space="0"/>
              <w:left w:val="single" w:color="000000" w:sz="2" w:space="0"/>
              <w:bottom w:val="single" w:color="000000" w:sz="2" w:space="0"/>
              <w:right w:val="single" w:color="000000" w:sz="2" w:space="0"/>
            </w:tcBorders>
            <w:tcMar>
              <w:left w:w="0" w:type="dxa"/>
              <w:right w:w="0" w:type="dxa"/>
            </w:tcMar>
          </w:tcPr>
          <w:p w14:paraId="79337266"/>
        </w:tc>
      </w:tr>
      <w:tr w14:paraId="60709904">
        <w:tblPrEx>
          <w:tblCellMar>
            <w:top w:w="0" w:type="dxa"/>
            <w:left w:w="108" w:type="dxa"/>
            <w:bottom w:w="0" w:type="dxa"/>
            <w:right w:w="108" w:type="dxa"/>
          </w:tblCellMar>
        </w:tblPrEx>
        <w:trPr>
          <w:trHeight w:val="590" w:hRule="exact"/>
        </w:trPr>
        <w:tc>
          <w:tcPr>
            <w:tcW w:w="496" w:type="dxa"/>
            <w:tcBorders>
              <w:top w:val="single" w:color="000000" w:sz="2" w:space="0"/>
              <w:left w:val="single" w:color="000000" w:sz="2" w:space="0"/>
              <w:bottom w:val="single" w:color="000000" w:sz="2" w:space="0"/>
              <w:right w:val="single" w:color="000000" w:sz="2" w:space="0"/>
            </w:tcBorders>
            <w:tcMar>
              <w:left w:w="0" w:type="dxa"/>
              <w:right w:w="0" w:type="dxa"/>
            </w:tcMar>
          </w:tcPr>
          <w:p w14:paraId="3B248B2C"/>
        </w:tc>
        <w:tc>
          <w:tcPr>
            <w:tcW w:w="2140" w:type="dxa"/>
            <w:tcBorders>
              <w:top w:val="single" w:color="000000" w:sz="2" w:space="0"/>
              <w:left w:val="single" w:color="000000" w:sz="2" w:space="0"/>
              <w:bottom w:val="single" w:color="000000" w:sz="2" w:space="0"/>
              <w:right w:val="single" w:color="000000" w:sz="2" w:space="0"/>
            </w:tcBorders>
            <w:tcMar>
              <w:left w:w="0" w:type="dxa"/>
              <w:right w:w="0" w:type="dxa"/>
            </w:tcMar>
          </w:tcPr>
          <w:p w14:paraId="43638494"/>
        </w:tc>
        <w:tc>
          <w:tcPr>
            <w:tcW w:w="1262" w:type="dxa"/>
            <w:tcBorders>
              <w:top w:val="single" w:color="000000" w:sz="2" w:space="0"/>
              <w:left w:val="single" w:color="000000" w:sz="2" w:space="0"/>
              <w:bottom w:val="single" w:color="000000" w:sz="2" w:space="0"/>
              <w:right w:val="single" w:color="000000" w:sz="2" w:space="0"/>
            </w:tcBorders>
            <w:tcMar>
              <w:left w:w="0" w:type="dxa"/>
              <w:right w:w="0" w:type="dxa"/>
            </w:tcMar>
          </w:tcPr>
          <w:p w14:paraId="0AF78246"/>
        </w:tc>
        <w:tc>
          <w:tcPr>
            <w:tcW w:w="982" w:type="dxa"/>
            <w:tcBorders>
              <w:top w:val="single" w:color="000000" w:sz="2" w:space="0"/>
              <w:left w:val="single" w:color="000000" w:sz="2" w:space="0"/>
              <w:bottom w:val="single" w:color="000000" w:sz="2" w:space="0"/>
              <w:right w:val="single" w:color="000000" w:sz="2" w:space="0"/>
            </w:tcBorders>
            <w:tcMar>
              <w:left w:w="0" w:type="dxa"/>
              <w:right w:w="0" w:type="dxa"/>
            </w:tcMar>
          </w:tcPr>
          <w:p w14:paraId="4936DF13"/>
        </w:tc>
        <w:tc>
          <w:tcPr>
            <w:tcW w:w="2804" w:type="dxa"/>
            <w:tcBorders>
              <w:top w:val="single" w:color="000000" w:sz="2" w:space="0"/>
              <w:left w:val="single" w:color="000000" w:sz="2" w:space="0"/>
              <w:bottom w:val="single" w:color="000000" w:sz="2" w:space="0"/>
              <w:right w:val="single" w:color="000000" w:sz="2" w:space="0"/>
            </w:tcBorders>
            <w:tcMar>
              <w:left w:w="0" w:type="dxa"/>
              <w:right w:w="0" w:type="dxa"/>
            </w:tcMar>
          </w:tcPr>
          <w:p w14:paraId="78D3759A"/>
        </w:tc>
        <w:tc>
          <w:tcPr>
            <w:tcW w:w="1264" w:type="dxa"/>
            <w:tcBorders>
              <w:top w:val="single" w:color="000000" w:sz="2" w:space="0"/>
              <w:left w:val="single" w:color="000000" w:sz="2" w:space="0"/>
              <w:bottom w:val="single" w:color="000000" w:sz="2" w:space="0"/>
              <w:right w:val="single" w:color="000000" w:sz="2" w:space="0"/>
            </w:tcBorders>
            <w:tcMar>
              <w:left w:w="0" w:type="dxa"/>
              <w:right w:w="0" w:type="dxa"/>
            </w:tcMar>
          </w:tcPr>
          <w:p w14:paraId="70C7EE02"/>
        </w:tc>
        <w:tc>
          <w:tcPr>
            <w:tcW w:w="1402" w:type="dxa"/>
            <w:tcBorders>
              <w:top w:val="single" w:color="000000" w:sz="2" w:space="0"/>
              <w:left w:val="single" w:color="000000" w:sz="2" w:space="0"/>
              <w:bottom w:val="single" w:color="000000" w:sz="2" w:space="0"/>
              <w:right w:val="single" w:color="000000" w:sz="2" w:space="0"/>
            </w:tcBorders>
            <w:tcMar>
              <w:left w:w="0" w:type="dxa"/>
              <w:right w:w="0" w:type="dxa"/>
            </w:tcMar>
          </w:tcPr>
          <w:p w14:paraId="094C2044"/>
        </w:tc>
        <w:tc>
          <w:tcPr>
            <w:tcW w:w="1404" w:type="dxa"/>
            <w:tcBorders>
              <w:top w:val="single" w:color="000000" w:sz="2" w:space="0"/>
              <w:left w:val="single" w:color="000000" w:sz="2" w:space="0"/>
              <w:bottom w:val="single" w:color="000000" w:sz="2" w:space="0"/>
              <w:right w:val="single" w:color="000000" w:sz="2" w:space="0"/>
            </w:tcBorders>
            <w:tcMar>
              <w:left w:w="0" w:type="dxa"/>
              <w:right w:w="0" w:type="dxa"/>
            </w:tcMar>
          </w:tcPr>
          <w:p w14:paraId="4779529B"/>
        </w:tc>
        <w:tc>
          <w:tcPr>
            <w:tcW w:w="1406" w:type="dxa"/>
            <w:tcBorders>
              <w:top w:val="single" w:color="000000" w:sz="2" w:space="0"/>
              <w:left w:val="single" w:color="000000" w:sz="2" w:space="0"/>
              <w:bottom w:val="single" w:color="000000" w:sz="2" w:space="0"/>
              <w:right w:val="single" w:color="000000" w:sz="2" w:space="0"/>
            </w:tcBorders>
            <w:tcMar>
              <w:left w:w="0" w:type="dxa"/>
              <w:right w:w="0" w:type="dxa"/>
            </w:tcMar>
          </w:tcPr>
          <w:p w14:paraId="7515F281"/>
        </w:tc>
      </w:tr>
    </w:tbl>
    <w:p w14:paraId="29043BA5">
      <w:pPr>
        <w:widowControl/>
        <w:autoSpaceDE w:val="0"/>
        <w:autoSpaceDN w:val="0"/>
        <w:spacing w:before="708" w:after="0" w:line="200" w:lineRule="exact"/>
        <w:ind w:left="0" w:right="6944" w:firstLine="0"/>
        <w:jc w:val="right"/>
      </w:pPr>
      <w:r>
        <w:rPr>
          <w:rFonts w:ascii="TimesNewRomanPSMT" w:hAnsi="TimesNewRomanPSMT" w:eastAsia="TimesNewRomanPSMT"/>
          <w:b w:val="0"/>
          <w:i w:val="0"/>
          <w:color w:val="000000"/>
          <w:sz w:val="18"/>
        </w:rPr>
        <w:t>17</w:t>
      </w:r>
    </w:p>
    <w:p w14:paraId="39ED3C92">
      <w:pPr>
        <w:sectPr>
          <w:pgSz w:w="16838" w:h="11906"/>
          <w:pgMar w:top="964" w:right="1440" w:bottom="498" w:left="1440" w:header="720" w:footer="720" w:gutter="0"/>
          <w:cols w:space="720" w:num="1"/>
          <w:docGrid w:linePitch="360" w:charSpace="0"/>
        </w:sectPr>
      </w:pPr>
    </w:p>
    <w:p w14:paraId="45E5C23B">
      <w:pPr>
        <w:widowControl/>
        <w:tabs>
          <w:tab w:val="left" w:pos="760"/>
          <w:tab w:val="left" w:pos="764"/>
          <w:tab w:val="left" w:pos="776"/>
          <w:tab w:val="left" w:pos="2160"/>
          <w:tab w:val="left" w:pos="6970"/>
          <w:tab w:val="left" w:pos="7750"/>
          <w:tab w:val="left" w:pos="7762"/>
        </w:tabs>
        <w:autoSpaceDE w:val="0"/>
        <w:autoSpaceDN w:val="0"/>
        <w:spacing w:before="24" w:after="282" w:line="600" w:lineRule="exact"/>
        <w:ind w:left="148" w:right="0" w:firstLine="0"/>
        <w:jc w:val="left"/>
      </w:pPr>
      <w:r>
        <w:br w:type="textWrapping"/>
      </w:r>
      <w:r>
        <w:tab/>
      </w:r>
      <w:bookmarkStart w:id="0" w:name="_GoBack"/>
      <w:bookmarkEnd w:id="0"/>
    </w:p>
    <w:sectPr>
      <w:pgSz w:w="11906" w:h="16838"/>
      <w:pgMar w:top="812" w:right="1440" w:bottom="498"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FZXBSJ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Wingdings2">
    <w:altName w:val="Segoe Print"/>
    <w:panose1 w:val="00000000000000000000"/>
    <w:charset w:val="00"/>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BD33DE9"/>
    <w:rsid w:val="0FD03043"/>
    <w:rsid w:val="274E2D73"/>
    <w:rsid w:val="429B2CC5"/>
    <w:rsid w:val="60B53F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18</Pages>
  <Words>6790</Words>
  <Characters>7013</Characters>
  <Lines>0</Lines>
  <Paragraphs>0</Paragraphs>
  <TotalTime>15</TotalTime>
  <ScaleCrop>false</ScaleCrop>
  <LinksUpToDate>false</LinksUpToDate>
  <CharactersWithSpaces>7291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包承龙*山东聊城聊之旅国际旅行社</cp:lastModifiedBy>
  <dcterms:modified xsi:type="dcterms:W3CDTF">2024-11-26T10:08:06Z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4047BC1CBC9A4EF797F0B0E52D0EB773_13</vt:lpwstr>
  </property>
</Properties>
</file>