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恶劣天气与自然灾害行车应急处理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2021年4月21日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掌握恶劣天气与自然灾害行车的应急处理办法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行车遇恶劣天气或自然灾害，能够按规定启动高速铁路应急响应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恶劣天气行车应急处理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自然灾害行车应急处理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</w:rPr>
              <w:t>恶劣天气行车应急处理</w:t>
            </w:r>
            <w:r>
              <w:rPr>
                <w:rFonts w:hint="eastAsia"/>
                <w:lang w:eastAsia="zh-CN"/>
              </w:rPr>
              <w:t>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自然灾害行车应急处理</w:t>
            </w:r>
            <w:r>
              <w:rPr>
                <w:rFonts w:hint="eastAsia"/>
                <w:lang w:eastAsia="zh-CN"/>
              </w:rPr>
              <w:t>方法有哪些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恶劣天气行车应急处理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大风天气行车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暴雨天气行车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冰雪天气行车</w:t>
            </w:r>
            <w:r>
              <w:rPr>
                <w:rFonts w:hint="eastAsia"/>
                <w:lang w:eastAsia="zh-CN"/>
              </w:rPr>
              <w:t>应注意那些问题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自然灾害行车应急处理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讲述在地震、洪涝情况下怎样应急处理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分析地震、洪涝的应急方法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案例分析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案例分析应对恶劣天气的具体措施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讨论、理解应急的具体措施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大风、暴雨、冰雪等恶劣天气对铁路运行有哪些不利影响？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恶劣天气行车应急处理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乘务组各岗位安全职责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6E0526B"/>
    <w:rsid w:val="0A87071F"/>
    <w:rsid w:val="0FB563AF"/>
    <w:rsid w:val="216A31E6"/>
    <w:rsid w:val="2C203124"/>
    <w:rsid w:val="3F6E16C3"/>
    <w:rsid w:val="44EC51AB"/>
    <w:rsid w:val="4D5105B0"/>
    <w:rsid w:val="614D426A"/>
    <w:rsid w:val="6A250A88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